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A5411" w14:textId="6CA7B5A1" w:rsidR="0008773B" w:rsidRDefault="0008773B" w:rsidP="0008773B">
      <w:pPr>
        <w:pStyle w:val="TeThHauorahead1"/>
      </w:pPr>
      <w:r>
        <w:t xml:space="preserve">Implementing post-traumatic stress amnesia (PTA) assessment for major trauma patients: One year review </w:t>
      </w:r>
    </w:p>
    <w:p w14:paraId="5137122E" w14:textId="5712D97B" w:rsidR="009F4A7C" w:rsidRDefault="0008773B" w:rsidP="00EF2A2E">
      <w:pPr>
        <w:pStyle w:val="TeThHauorabodytext"/>
        <w:rPr>
          <w:rFonts w:cs="Whitney Book"/>
          <w:color w:val="221E1F"/>
          <w:sz w:val="23"/>
          <w:szCs w:val="23"/>
        </w:rPr>
      </w:pPr>
      <w:r>
        <w:t xml:space="preserve">This document </w:t>
      </w:r>
      <w:r w:rsidR="00D5627A">
        <w:t xml:space="preserve">details </w:t>
      </w:r>
      <w:r>
        <w:t xml:space="preserve">information presented in infographic form about the one year review of </w:t>
      </w:r>
      <w:r w:rsidR="00FD2E21">
        <w:rPr>
          <w:rFonts w:cs="Whitney Book"/>
          <w:color w:val="221E1F"/>
          <w:sz w:val="23"/>
          <w:szCs w:val="23"/>
        </w:rPr>
        <w:t xml:space="preserve">a national serious traumatic brain injury collaborative. </w:t>
      </w:r>
    </w:p>
    <w:p w14:paraId="2553C3E5" w14:textId="57A5B631" w:rsidR="0008773B" w:rsidRDefault="0008773B" w:rsidP="0008773B">
      <w:pPr>
        <w:pStyle w:val="TeThHauorahead2"/>
      </w:pPr>
      <w:r>
        <w:t xml:space="preserve">Major trauma PTA assessment rates </w:t>
      </w:r>
      <w:r w:rsidR="002B3830">
        <w:t xml:space="preserve">from </w:t>
      </w:r>
      <w:r>
        <w:t>Oct</w:t>
      </w:r>
      <w:r w:rsidR="002B3830">
        <w:t>ober</w:t>
      </w:r>
      <w:r>
        <w:t xml:space="preserve"> 2022</w:t>
      </w:r>
      <w:r w:rsidR="002B3830">
        <w:t xml:space="preserve"> to </w:t>
      </w:r>
      <w:r>
        <w:t>Apr</w:t>
      </w:r>
      <w:r w:rsidR="002B3830">
        <w:t>il</w:t>
      </w:r>
      <w:r>
        <w:t xml:space="preserve"> 2024</w:t>
      </w:r>
    </w:p>
    <w:p w14:paraId="17ABBB06" w14:textId="5394AD4A" w:rsidR="0008773B" w:rsidRDefault="0008773B" w:rsidP="00581B96">
      <w:pPr>
        <w:pStyle w:val="TeThHauorabodytext"/>
      </w:pPr>
      <w:r>
        <w:t xml:space="preserve">During the period from October 2022 to April 2024, the overall national assessment rate </w:t>
      </w:r>
      <w:r w:rsidR="00E620BD">
        <w:t>for post</w:t>
      </w:r>
      <w:r w:rsidR="00702553">
        <w:t xml:space="preserve">-traumatic stress amnesia </w:t>
      </w:r>
      <w:r>
        <w:t xml:space="preserve">was 72 percent. </w:t>
      </w:r>
    </w:p>
    <w:p w14:paraId="3A3798D5" w14:textId="062CD3A5" w:rsidR="0008773B" w:rsidRDefault="0008773B" w:rsidP="00581B96">
      <w:pPr>
        <w:pStyle w:val="TeThHauorabodytext"/>
      </w:pPr>
      <w:r>
        <w:t xml:space="preserve">For collaborative sites the rate was 78 percent, and for sites that weren’t part of the collaborative the rate was 67 percent. </w:t>
      </w:r>
    </w:p>
    <w:p w14:paraId="0C15B2CF" w14:textId="3DB6C2FA" w:rsidR="00B61CA0" w:rsidRDefault="003440F4" w:rsidP="003440F4">
      <w:pPr>
        <w:pStyle w:val="TeThHauorabodytext"/>
      </w:pPr>
      <w:r w:rsidRPr="003440F4">
        <w:t>During the period from October 2022 to April 2024,</w:t>
      </w:r>
      <w:r>
        <w:t xml:space="preserve"> ten collaborative sites had median </w:t>
      </w:r>
      <w:r w:rsidR="00702553">
        <w:t xml:space="preserve">assessment </w:t>
      </w:r>
      <w:r>
        <w:t>rates higher than the national average.</w:t>
      </w:r>
    </w:p>
    <w:p w14:paraId="09F93273" w14:textId="19BE7BFF" w:rsidR="00B2181E" w:rsidRDefault="00B2181E" w:rsidP="003440F4">
      <w:pPr>
        <w:pStyle w:val="TeThHauorabodytext"/>
      </w:pPr>
      <w:r>
        <w:t xml:space="preserve">Two large hospitals started implementation of </w:t>
      </w:r>
      <w:r w:rsidR="002B4AEA">
        <w:t xml:space="preserve">PTA assessment for major trauma patients in 2024. </w:t>
      </w:r>
    </w:p>
    <w:p w14:paraId="491EB4F6" w14:textId="3C82353B" w:rsidR="009E4E8D" w:rsidRDefault="009E4E8D" w:rsidP="00F720C1">
      <w:pPr>
        <w:pStyle w:val="TeThHauorahead2"/>
      </w:pPr>
      <w:r>
        <w:t>Collaborative teams’ progress</w:t>
      </w:r>
      <w:r w:rsidR="00F720C1">
        <w:t xml:space="preserve"> </w:t>
      </w:r>
    </w:p>
    <w:p w14:paraId="4034DB1C" w14:textId="3E299052" w:rsidR="0008773B" w:rsidRDefault="0008773B" w:rsidP="00581B96">
      <w:pPr>
        <w:pStyle w:val="TeThHauorabodytext"/>
      </w:pPr>
      <w:r>
        <w:t xml:space="preserve"> </w:t>
      </w:r>
      <w:r w:rsidR="00F720C1">
        <w:t>During the period from October 2022 to April 2024</w:t>
      </w:r>
      <w:r w:rsidR="008A2C72">
        <w:t>:</w:t>
      </w:r>
    </w:p>
    <w:p w14:paraId="1E81611C" w14:textId="465C026D" w:rsidR="008A2C72" w:rsidRDefault="003C6420" w:rsidP="008A2C72">
      <w:pPr>
        <w:pStyle w:val="ListBullet"/>
      </w:pPr>
      <w:r>
        <w:t>Ninety</w:t>
      </w:r>
      <w:r w:rsidR="008A2C72">
        <w:t xml:space="preserve"> percent of collaborative teams implemented successful change ideas</w:t>
      </w:r>
      <w:r w:rsidR="0084364D">
        <w:t>.</w:t>
      </w:r>
    </w:p>
    <w:p w14:paraId="57B63245" w14:textId="52D5E70A" w:rsidR="008A2C72" w:rsidRDefault="003C6420" w:rsidP="008A2C72">
      <w:pPr>
        <w:pStyle w:val="ListBullet"/>
      </w:pPr>
      <w:r>
        <w:t>One hundred</w:t>
      </w:r>
      <w:r w:rsidR="008A2C72">
        <w:t xml:space="preserve"> percent </w:t>
      </w:r>
      <w:r>
        <w:t xml:space="preserve">of collaborative teams </w:t>
      </w:r>
      <w:r w:rsidR="003154EF">
        <w:t>spread PTA assessment to new clinical areas</w:t>
      </w:r>
      <w:r w:rsidR="0084364D">
        <w:t>.</w:t>
      </w:r>
    </w:p>
    <w:p w14:paraId="45E87722" w14:textId="790077BA" w:rsidR="003154EF" w:rsidRDefault="00125021" w:rsidP="008A2C72">
      <w:pPr>
        <w:pStyle w:val="ListBullet"/>
      </w:pPr>
      <w:r>
        <w:t xml:space="preserve">In the last </w:t>
      </w:r>
      <w:r w:rsidR="003C6420">
        <w:t>six</w:t>
      </w:r>
      <w:r>
        <w:t xml:space="preserve"> months</w:t>
      </w:r>
      <w:r w:rsidR="00372234">
        <w:t xml:space="preserve"> (November 2023 – April 2024)</w:t>
      </w:r>
      <w:r>
        <w:t>, PTA completion rate was 84</w:t>
      </w:r>
      <w:r w:rsidR="0084364D">
        <w:t xml:space="preserve"> percent </w:t>
      </w:r>
      <w:r>
        <w:t>for collaborative teams</w:t>
      </w:r>
      <w:r w:rsidR="0084364D">
        <w:t>.</w:t>
      </w:r>
    </w:p>
    <w:p w14:paraId="30378E28" w14:textId="50A68201" w:rsidR="00290CAC" w:rsidRDefault="00290CAC" w:rsidP="008A2C72">
      <w:pPr>
        <w:pStyle w:val="ListBullet"/>
      </w:pPr>
      <w:r>
        <w:t>Improvements made by collaborative teams were focused on vulnerable populations.</w:t>
      </w:r>
    </w:p>
    <w:p w14:paraId="3F3BB7EA" w14:textId="77777777" w:rsidR="00290CAC" w:rsidRDefault="00290CAC" w:rsidP="00290CAC">
      <w:pPr>
        <w:pStyle w:val="ListBullet"/>
        <w:numPr>
          <w:ilvl w:val="0"/>
          <w:numId w:val="0"/>
        </w:numPr>
      </w:pPr>
    </w:p>
    <w:p w14:paraId="63D82105" w14:textId="6E9109DA" w:rsidR="00290CAC" w:rsidRDefault="00290CAC" w:rsidP="00290CAC">
      <w:pPr>
        <w:pStyle w:val="ListBullet"/>
        <w:numPr>
          <w:ilvl w:val="0"/>
          <w:numId w:val="0"/>
        </w:numPr>
      </w:pPr>
      <w:r>
        <w:t xml:space="preserve">One hospital team project lead said, “I think the whole thing’s highlighted the importance of concussion and the impacts that can have on patients and family recovery”. </w:t>
      </w:r>
    </w:p>
    <w:p w14:paraId="12FD7091" w14:textId="77777777" w:rsidR="004927CB" w:rsidRDefault="004927CB" w:rsidP="00A04FB6">
      <w:pPr>
        <w:pStyle w:val="TeThHauorahead2"/>
      </w:pPr>
      <w:r>
        <w:t xml:space="preserve">More information </w:t>
      </w:r>
    </w:p>
    <w:p w14:paraId="29C336C1" w14:textId="77777777" w:rsidR="004927CB" w:rsidRDefault="004927CB" w:rsidP="00290CAC">
      <w:pPr>
        <w:pStyle w:val="ListBullet"/>
        <w:numPr>
          <w:ilvl w:val="0"/>
          <w:numId w:val="0"/>
        </w:numPr>
      </w:pPr>
    </w:p>
    <w:p w14:paraId="792829F8" w14:textId="0001E66E" w:rsidR="00A04FB6" w:rsidRDefault="004927CB" w:rsidP="00290CAC">
      <w:pPr>
        <w:pStyle w:val="ListBullet"/>
        <w:numPr>
          <w:ilvl w:val="0"/>
          <w:numId w:val="0"/>
        </w:numPr>
        <w:rPr>
          <w:rFonts w:cs="Whitney Book"/>
          <w:color w:val="221E1F"/>
          <w:sz w:val="23"/>
          <w:szCs w:val="23"/>
        </w:rPr>
      </w:pPr>
      <w:r>
        <w:t xml:space="preserve">Further information on the </w:t>
      </w:r>
      <w:r w:rsidR="00A04FB6">
        <w:rPr>
          <w:rFonts w:cs="Whitney Book"/>
          <w:color w:val="221E1F"/>
          <w:sz w:val="23"/>
          <w:szCs w:val="23"/>
        </w:rPr>
        <w:t xml:space="preserve">national serious traumatic brain injury collaborative is available on our website: </w:t>
      </w:r>
      <w:hyperlink r:id="rId8" w:history="1">
        <w:r w:rsidR="001F5678" w:rsidRPr="00072737">
          <w:rPr>
            <w:rStyle w:val="Hyperlink"/>
            <w:rFonts w:cs="Whitney Book"/>
            <w:sz w:val="23"/>
            <w:szCs w:val="23"/>
          </w:rPr>
          <w:t>www.hqsc.govt.nz</w:t>
        </w:r>
      </w:hyperlink>
    </w:p>
    <w:p w14:paraId="45A0B701" w14:textId="77777777" w:rsidR="001F5678" w:rsidRDefault="001F5678" w:rsidP="00290CAC">
      <w:pPr>
        <w:pStyle w:val="ListBullet"/>
        <w:numPr>
          <w:ilvl w:val="0"/>
          <w:numId w:val="0"/>
        </w:numPr>
      </w:pPr>
    </w:p>
    <w:p w14:paraId="105FDB69" w14:textId="34EE712D" w:rsidR="001C5532" w:rsidRDefault="00D5627A" w:rsidP="001C5532">
      <w:r>
        <w:t>This document was p</w:t>
      </w:r>
      <w:r w:rsidR="001C5532">
        <w:t xml:space="preserve">ublished in January 2025 by </w:t>
      </w:r>
      <w:proofErr w:type="spellStart"/>
      <w:r w:rsidR="001C5532">
        <w:t>Te</w:t>
      </w:r>
      <w:proofErr w:type="spellEnd"/>
      <w:r w:rsidR="001C5532">
        <w:t xml:space="preserve"> </w:t>
      </w:r>
      <w:proofErr w:type="spellStart"/>
      <w:r w:rsidR="001C5532">
        <w:t>Tāhū</w:t>
      </w:r>
      <w:proofErr w:type="spellEnd"/>
      <w:r w:rsidR="001C5532">
        <w:t xml:space="preserve"> Hauora | Health Quality &amp; Safety Commission, PO Box 25496, Wellington 6146, New Zealand.</w:t>
      </w:r>
    </w:p>
    <w:p w14:paraId="158C404A" w14:textId="75AD31E4" w:rsidR="003C6ED5" w:rsidRPr="00581B96" w:rsidRDefault="003C6ED5" w:rsidP="001C5532">
      <w:pPr>
        <w:pStyle w:val="ListBullet"/>
        <w:numPr>
          <w:ilvl w:val="0"/>
          <w:numId w:val="0"/>
        </w:numPr>
      </w:pPr>
    </w:p>
    <w:sectPr w:rsidR="003C6ED5" w:rsidRPr="00581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B7A01" w14:textId="77777777" w:rsidR="00B03AC6" w:rsidRDefault="00B03AC6" w:rsidP="00F607B3">
      <w:pPr>
        <w:spacing w:after="0" w:line="240" w:lineRule="auto"/>
      </w:pPr>
      <w:r>
        <w:separator/>
      </w:r>
    </w:p>
  </w:endnote>
  <w:endnote w:type="continuationSeparator" w:id="0">
    <w:p w14:paraId="4E59A7BE" w14:textId="77777777" w:rsidR="00B03AC6" w:rsidRDefault="00B03AC6" w:rsidP="00F6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hitney Book">
    <w:altName w:val="Whitney Book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84066" w14:textId="77777777" w:rsidR="00B03AC6" w:rsidRDefault="00B03AC6" w:rsidP="00F607B3">
      <w:pPr>
        <w:spacing w:after="0" w:line="240" w:lineRule="auto"/>
      </w:pPr>
      <w:r>
        <w:separator/>
      </w:r>
    </w:p>
  </w:footnote>
  <w:footnote w:type="continuationSeparator" w:id="0">
    <w:p w14:paraId="5FEF18F2" w14:textId="77777777" w:rsidR="00B03AC6" w:rsidRDefault="00B03AC6" w:rsidP="00F60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554B7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D5674"/>
    <w:multiLevelType w:val="multilevel"/>
    <w:tmpl w:val="1409001D"/>
    <w:numStyleLink w:val="NoIndentBullet"/>
  </w:abstractNum>
  <w:abstractNum w:abstractNumId="2" w15:restartNumberingAfterBreak="0">
    <w:nsid w:val="2B691E49"/>
    <w:multiLevelType w:val="hybridMultilevel"/>
    <w:tmpl w:val="FAA65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324A5"/>
    <w:multiLevelType w:val="multilevel"/>
    <w:tmpl w:val="305A5620"/>
    <w:lvl w:ilvl="0">
      <w:start w:val="1"/>
      <w:numFmt w:val="decimal"/>
      <w:pStyle w:val="TeThHauora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41A546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50F1E1B"/>
    <w:multiLevelType w:val="multilevel"/>
    <w:tmpl w:val="1409001D"/>
    <w:styleLink w:val="NoIndent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7661AAF"/>
    <w:multiLevelType w:val="multilevel"/>
    <w:tmpl w:val="1409001D"/>
    <w:numStyleLink w:val="NoIndentBullet"/>
  </w:abstractNum>
  <w:abstractNum w:abstractNumId="7" w15:restartNumberingAfterBreak="0">
    <w:nsid w:val="68100608"/>
    <w:multiLevelType w:val="multilevel"/>
    <w:tmpl w:val="1409001D"/>
    <w:numStyleLink w:val="NoIndentBullet"/>
  </w:abstractNum>
  <w:num w:numId="1" w16cid:durableId="495070359">
    <w:abstractNumId w:val="4"/>
  </w:num>
  <w:num w:numId="2" w16cid:durableId="953295230">
    <w:abstractNumId w:val="5"/>
  </w:num>
  <w:num w:numId="3" w16cid:durableId="1152986167">
    <w:abstractNumId w:val="7"/>
  </w:num>
  <w:num w:numId="4" w16cid:durableId="17228207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4219333">
    <w:abstractNumId w:val="6"/>
  </w:num>
  <w:num w:numId="6" w16cid:durableId="1497529179">
    <w:abstractNumId w:val="1"/>
  </w:num>
  <w:num w:numId="7" w16cid:durableId="1515728625">
    <w:abstractNumId w:val="0"/>
  </w:num>
  <w:num w:numId="8" w16cid:durableId="918633406">
    <w:abstractNumId w:val="2"/>
  </w:num>
  <w:num w:numId="9" w16cid:durableId="1361972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3B"/>
    <w:rsid w:val="0008773B"/>
    <w:rsid w:val="00125021"/>
    <w:rsid w:val="001C5532"/>
    <w:rsid w:val="001F5678"/>
    <w:rsid w:val="002374D1"/>
    <w:rsid w:val="00290CAC"/>
    <w:rsid w:val="002A60AE"/>
    <w:rsid w:val="002B3830"/>
    <w:rsid w:val="002B4AEA"/>
    <w:rsid w:val="002C158A"/>
    <w:rsid w:val="003154EF"/>
    <w:rsid w:val="00336B17"/>
    <w:rsid w:val="003440F4"/>
    <w:rsid w:val="00371123"/>
    <w:rsid w:val="00372234"/>
    <w:rsid w:val="003C6420"/>
    <w:rsid w:val="003C6ED5"/>
    <w:rsid w:val="00460FAC"/>
    <w:rsid w:val="004927CB"/>
    <w:rsid w:val="004F2777"/>
    <w:rsid w:val="00581B96"/>
    <w:rsid w:val="00702553"/>
    <w:rsid w:val="007E05A5"/>
    <w:rsid w:val="0084364D"/>
    <w:rsid w:val="008711FD"/>
    <w:rsid w:val="008870B7"/>
    <w:rsid w:val="008A2C72"/>
    <w:rsid w:val="00931232"/>
    <w:rsid w:val="009D2DF0"/>
    <w:rsid w:val="009D3B44"/>
    <w:rsid w:val="009E4E8D"/>
    <w:rsid w:val="009F4A7C"/>
    <w:rsid w:val="00A04FB6"/>
    <w:rsid w:val="00B03AC6"/>
    <w:rsid w:val="00B2181E"/>
    <w:rsid w:val="00B61CA0"/>
    <w:rsid w:val="00D5627A"/>
    <w:rsid w:val="00D8682F"/>
    <w:rsid w:val="00E620BD"/>
    <w:rsid w:val="00EF2A2E"/>
    <w:rsid w:val="00F607B3"/>
    <w:rsid w:val="00F720C1"/>
    <w:rsid w:val="00F86127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70B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96"/>
    <w:pPr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7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7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7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7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7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7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1FD"/>
    <w:pPr>
      <w:ind w:left="720"/>
    </w:pPr>
  </w:style>
  <w:style w:type="numbering" w:customStyle="1" w:styleId="NoIndentBullet">
    <w:name w:val="NoIndentBullet"/>
    <w:uiPriority w:val="99"/>
    <w:rsid w:val="008711FD"/>
    <w:pPr>
      <w:numPr>
        <w:numId w:val="2"/>
      </w:numPr>
    </w:pPr>
  </w:style>
  <w:style w:type="table" w:styleId="TableGrid">
    <w:name w:val="Table Grid"/>
    <w:basedOn w:val="TableNormal"/>
    <w:uiPriority w:val="59"/>
    <w:rsid w:val="00581B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81B96"/>
    <w:pPr>
      <w:numPr>
        <w:numId w:val="7"/>
      </w:numPr>
      <w:contextualSpacing/>
    </w:pPr>
  </w:style>
  <w:style w:type="paragraph" w:customStyle="1" w:styleId="TeThHauorahead1">
    <w:name w:val="Te Tāhū Hauora head 1"/>
    <w:basedOn w:val="Heading1"/>
    <w:qFormat/>
    <w:rsid w:val="00581B96"/>
    <w:pPr>
      <w:spacing w:before="360" w:after="240" w:line="240" w:lineRule="auto"/>
    </w:pPr>
    <w:rPr>
      <w:rFonts w:ascii="Arial" w:hAnsi="Arial" w:cs="Arial"/>
      <w:b/>
      <w:color w:val="293868"/>
      <w:sz w:val="36"/>
    </w:rPr>
  </w:style>
  <w:style w:type="paragraph" w:customStyle="1" w:styleId="TeThHauorabodytext">
    <w:name w:val="Te Tāhū Hauora body text"/>
    <w:basedOn w:val="Normal"/>
    <w:qFormat/>
    <w:rsid w:val="00581B96"/>
    <w:rPr>
      <w:rFonts w:cs="Arial"/>
    </w:rPr>
  </w:style>
  <w:style w:type="paragraph" w:customStyle="1" w:styleId="TeThHauorabullets">
    <w:name w:val="Te Tāhū Hauora bullets"/>
    <w:basedOn w:val="Normal"/>
    <w:qFormat/>
    <w:rsid w:val="00581B96"/>
    <w:pPr>
      <w:numPr>
        <w:numId w:val="9"/>
      </w:numPr>
      <w:spacing w:after="60"/>
      <w:ind w:left="357" w:hanging="357"/>
    </w:pPr>
    <w:rPr>
      <w:rFonts w:cs="Arial"/>
    </w:rPr>
  </w:style>
  <w:style w:type="paragraph" w:customStyle="1" w:styleId="TeThHauoraindentedquote">
    <w:name w:val="Te Tāhū Hauora indented quote"/>
    <w:basedOn w:val="Quote"/>
    <w:qFormat/>
    <w:rsid w:val="00581B96"/>
    <w:pPr>
      <w:spacing w:before="240" w:after="60"/>
      <w:ind w:left="709" w:right="709"/>
      <w:jc w:val="left"/>
    </w:pPr>
    <w:rPr>
      <w:rFonts w:cs="Arial"/>
      <w:i w:val="0"/>
      <w:color w:val="auto"/>
    </w:rPr>
  </w:style>
  <w:style w:type="paragraph" w:customStyle="1" w:styleId="TeThHauorasource">
    <w:name w:val="Te Tāhū Hauora source"/>
    <w:basedOn w:val="NormalIndent"/>
    <w:qFormat/>
    <w:rsid w:val="00581B96"/>
    <w:rPr>
      <w:rFonts w:cs="Arial"/>
    </w:rPr>
  </w:style>
  <w:style w:type="paragraph" w:customStyle="1" w:styleId="TeThHauorahead2">
    <w:name w:val="Te Tāhū Hauora head 2"/>
    <w:basedOn w:val="Heading2"/>
    <w:qFormat/>
    <w:rsid w:val="00581B96"/>
    <w:pPr>
      <w:spacing w:before="360" w:after="120" w:line="240" w:lineRule="auto"/>
    </w:pPr>
    <w:rPr>
      <w:rFonts w:ascii="Arial" w:hAnsi="Arial" w:cs="Arial"/>
      <w:b/>
      <w:i/>
      <w:color w:val="293868"/>
      <w:sz w:val="28"/>
    </w:rPr>
  </w:style>
  <w:style w:type="paragraph" w:customStyle="1" w:styleId="TeThHauorahead3">
    <w:name w:val="Te Tāhū Hauora head 3"/>
    <w:basedOn w:val="Heading3"/>
    <w:qFormat/>
    <w:rsid w:val="00581B96"/>
    <w:pPr>
      <w:spacing w:before="280" w:after="200" w:line="240" w:lineRule="auto"/>
    </w:pPr>
    <w:rPr>
      <w:rFonts w:ascii="Arial" w:hAnsi="Arial" w:cs="Arial"/>
      <w:b/>
      <w:color w:val="auto"/>
    </w:rPr>
  </w:style>
  <w:style w:type="paragraph" w:customStyle="1" w:styleId="TeThHauoratablefigurecaption">
    <w:name w:val="Te Tāhū Hauora table/figure caption"/>
    <w:basedOn w:val="Normal"/>
    <w:qFormat/>
    <w:rsid w:val="00581B96"/>
    <w:rPr>
      <w:rFonts w:cs="Arial"/>
      <w:b/>
    </w:rPr>
  </w:style>
  <w:style w:type="paragraph" w:customStyle="1" w:styleId="TeThHauoratablecolumnhead">
    <w:name w:val="Te Tāhū Hauora table column head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  <w:b/>
    </w:rPr>
  </w:style>
  <w:style w:type="paragraph" w:customStyle="1" w:styleId="TeThHauoratablecontent">
    <w:name w:val="Te Tāhū Hauora table content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81B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B96"/>
    <w:rPr>
      <w:rFonts w:ascii="Arial" w:hAnsi="Arial"/>
      <w:i/>
      <w:iCs/>
      <w:color w:val="404040" w:themeColor="text1" w:themeTint="BF"/>
      <w:kern w:val="0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581B9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B9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73B"/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73B"/>
    <w:rPr>
      <w:rFonts w:eastAsiaTheme="majorEastAsia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73B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73B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73B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73B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87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73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7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73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0877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73B"/>
    <w:rPr>
      <w:rFonts w:ascii="Arial" w:hAnsi="Arial"/>
      <w:i/>
      <w:iCs/>
      <w:color w:val="2F5496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8773B"/>
    <w:rPr>
      <w:b/>
      <w:bCs/>
      <w:smallCaps/>
      <w:color w:val="2F5496" w:themeColor="accent1" w:themeShade="BF"/>
      <w:spacing w:val="5"/>
    </w:rPr>
  </w:style>
  <w:style w:type="paragraph" w:customStyle="1" w:styleId="Pa4">
    <w:name w:val="Pa4"/>
    <w:basedOn w:val="Normal"/>
    <w:next w:val="Normal"/>
    <w:uiPriority w:val="99"/>
    <w:rsid w:val="009D3B44"/>
    <w:pPr>
      <w:autoSpaceDE w:val="0"/>
      <w:autoSpaceDN w:val="0"/>
      <w:adjustRightInd w:val="0"/>
      <w:spacing w:after="0" w:line="241" w:lineRule="atLeast"/>
    </w:pPr>
    <w:rPr>
      <w:rFonts w:ascii="Whitney Book" w:hAnsi="Whitney Book"/>
      <w:sz w:val="24"/>
      <w:szCs w:val="24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237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4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4D1"/>
    <w:rPr>
      <w:rFonts w:ascii="Arial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4D1"/>
    <w:rPr>
      <w:rFonts w:ascii="Arial" w:hAnsi="Arial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1F5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6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0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7B3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0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7B3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qsc.govt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7A5B1-932A-427A-88CA-65B1898447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2025-02-10T00:05:00Z</dcterms:created>
  <dcterms:modified xsi:type="dcterms:W3CDTF">2025-02-10T00:07:00Z</dcterms:modified>
</cp:coreProperties>
</file>