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word/glossary/document.xml" ContentType="application/vnd.openxmlformats-officedocument.wordprocessingml.document.glossary+xml"/>
  <Override PartName="/word/settings.xml" ContentType="application/vnd.openxmlformats-officedocument.wordprocessingml.settings+xml"/>
  <Override PartName="/word/glossary/settings.xml" ContentType="application/vnd.openxmlformats-officedocument.wordprocessingml.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glossary/fontTable.xml" ContentType="application/vnd.openxmlformats-officedocument.wordprocessingml.fontTable+xml"/>
  <Override PartName="/word/glossary/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word/glossary/webSettings.xml" ContentType="application/vnd.openxmlformats-officedocument.wordprocessingml.webSetting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51649B" w14:textId="16279A7D" w:rsidR="00045C36" w:rsidRDefault="00821944">
      <w:pPr>
        <w:rPr>
          <w:rFonts w:cs="Arial"/>
          <w:b/>
          <w:szCs w:val="22"/>
        </w:rPr>
      </w:pPr>
      <w:r>
        <w:rPr>
          <w:noProof/>
        </w:rPr>
        <w:drawing>
          <wp:anchor distT="0" distB="0" distL="114300" distR="114300" simplePos="0" relativeHeight="251658240" behindDoc="1" locked="0" layoutInCell="1" allowOverlap="1" wp14:anchorId="5064DF57" wp14:editId="7F85ECFF">
            <wp:simplePos x="0" y="0"/>
            <wp:positionH relativeFrom="page">
              <wp:posOffset>24130</wp:posOffset>
            </wp:positionH>
            <wp:positionV relativeFrom="paragraph">
              <wp:posOffset>-662305</wp:posOffset>
            </wp:positionV>
            <wp:extent cx="7541801" cy="10667999"/>
            <wp:effectExtent l="0" t="0" r="254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41801" cy="10667999"/>
                    </a:xfrm>
                    <a:prstGeom prst="rect">
                      <a:avLst/>
                    </a:prstGeom>
                  </pic:spPr>
                </pic:pic>
              </a:graphicData>
            </a:graphic>
            <wp14:sizeRelH relativeFrom="page">
              <wp14:pctWidth>0</wp14:pctWidth>
            </wp14:sizeRelH>
            <wp14:sizeRelV relativeFrom="page">
              <wp14:pctHeight>0</wp14:pctHeight>
            </wp14:sizeRelV>
          </wp:anchor>
        </w:drawing>
      </w:r>
    </w:p>
    <w:p w14:paraId="068D3D11" w14:textId="1AF2732C" w:rsidR="00045C36" w:rsidRPr="00F05A23" w:rsidRDefault="00045C36" w:rsidP="0018594A">
      <w:pPr>
        <w:rPr>
          <w:rFonts w:cs="Arial"/>
          <w:szCs w:val="22"/>
        </w:rPr>
      </w:pPr>
    </w:p>
    <w:p w14:paraId="736C75D6" w14:textId="059E68B4" w:rsidR="00045C36" w:rsidRPr="00F05A23" w:rsidRDefault="00045C36" w:rsidP="0018594A">
      <w:pPr>
        <w:rPr>
          <w:rFonts w:cs="Arial"/>
          <w:szCs w:val="22"/>
        </w:rPr>
      </w:pPr>
    </w:p>
    <w:p w14:paraId="22F18995" w14:textId="6890CD79" w:rsidR="00045C36" w:rsidRPr="00F05A23" w:rsidRDefault="00045C36" w:rsidP="00A31AD8">
      <w:pPr>
        <w:rPr>
          <w:rFonts w:cs="Arial"/>
          <w:szCs w:val="22"/>
        </w:rPr>
      </w:pPr>
    </w:p>
    <w:p w14:paraId="2737CFE7" w14:textId="77777777" w:rsidR="00045C36" w:rsidRPr="00F05A23" w:rsidRDefault="00045C36" w:rsidP="00F05A23">
      <w:pPr>
        <w:rPr>
          <w:rFonts w:cs="Arial"/>
          <w:szCs w:val="22"/>
        </w:rPr>
      </w:pPr>
    </w:p>
    <w:p w14:paraId="232FA24B" w14:textId="77777777" w:rsidR="00045C36" w:rsidRDefault="00045C36">
      <w:pPr>
        <w:rPr>
          <w:rFonts w:cs="Arial"/>
          <w:b/>
          <w:szCs w:val="22"/>
        </w:rPr>
      </w:pPr>
    </w:p>
    <w:p w14:paraId="7571D4C2" w14:textId="77777777" w:rsidR="00045C36" w:rsidRPr="004846B0" w:rsidRDefault="00045C36" w:rsidP="00045C36">
      <w:pPr>
        <w:jc w:val="center"/>
        <w:rPr>
          <w:rFonts w:cs="Arial"/>
        </w:rPr>
      </w:pPr>
    </w:p>
    <w:p w14:paraId="2AFC1B8D" w14:textId="085E66BC" w:rsidR="00045C36" w:rsidRPr="004846B0" w:rsidRDefault="00045C36" w:rsidP="00045C36">
      <w:pPr>
        <w:jc w:val="center"/>
        <w:rPr>
          <w:rFonts w:cs="Arial"/>
        </w:rPr>
      </w:pPr>
    </w:p>
    <w:p w14:paraId="24B9BA7B" w14:textId="77777777" w:rsidR="00045C36" w:rsidRPr="00045C36" w:rsidRDefault="00045C36" w:rsidP="00045C36">
      <w:pPr>
        <w:jc w:val="center"/>
        <w:rPr>
          <w:rFonts w:cs="Arial"/>
          <w:color w:val="2F5496"/>
          <w:sz w:val="56"/>
          <w:szCs w:val="56"/>
        </w:rPr>
      </w:pPr>
    </w:p>
    <w:p w14:paraId="0433B463" w14:textId="77777777" w:rsidR="00045C36" w:rsidRPr="00045C36" w:rsidRDefault="00045C36" w:rsidP="00045C36">
      <w:pPr>
        <w:jc w:val="center"/>
        <w:rPr>
          <w:rFonts w:cs="Arial"/>
          <w:color w:val="2F5496"/>
          <w:sz w:val="56"/>
          <w:szCs w:val="56"/>
        </w:rPr>
      </w:pPr>
    </w:p>
    <w:p w14:paraId="4E9BFA2E" w14:textId="77777777" w:rsidR="00045C36" w:rsidRPr="00045C36" w:rsidRDefault="00045C36" w:rsidP="00045C36">
      <w:pPr>
        <w:jc w:val="center"/>
        <w:rPr>
          <w:rFonts w:cs="Arial"/>
          <w:color w:val="2F5496"/>
          <w:sz w:val="56"/>
          <w:szCs w:val="56"/>
        </w:rPr>
      </w:pPr>
    </w:p>
    <w:p w14:paraId="50D983BD" w14:textId="77777777" w:rsidR="00045C36" w:rsidRDefault="00045C36" w:rsidP="00045C36">
      <w:pPr>
        <w:jc w:val="center"/>
        <w:rPr>
          <w:rFonts w:cs="Arial"/>
          <w:b/>
          <w:sz w:val="36"/>
          <w:szCs w:val="36"/>
        </w:rPr>
      </w:pPr>
    </w:p>
    <w:p w14:paraId="439FB902" w14:textId="77777777" w:rsidR="00045C36" w:rsidRPr="00821944" w:rsidRDefault="00045C36" w:rsidP="00045C36">
      <w:pPr>
        <w:jc w:val="center"/>
        <w:rPr>
          <w:rFonts w:cs="Arial"/>
          <w:b/>
          <w:color w:val="FFFFFF" w:themeColor="background1"/>
          <w:sz w:val="36"/>
          <w:szCs w:val="36"/>
        </w:rPr>
      </w:pPr>
      <w:r w:rsidRPr="00821944">
        <w:rPr>
          <w:rFonts w:cs="Arial"/>
          <w:b/>
          <w:color w:val="FFFFFF" w:themeColor="background1"/>
          <w:sz w:val="36"/>
          <w:szCs w:val="36"/>
        </w:rPr>
        <w:t>Atlas of Healthcare Variation:</w:t>
      </w:r>
    </w:p>
    <w:p w14:paraId="61896947" w14:textId="64CDDE18" w:rsidR="00045C36" w:rsidRDefault="00045C36" w:rsidP="00045C36">
      <w:pPr>
        <w:jc w:val="center"/>
        <w:rPr>
          <w:rFonts w:cs="Arial"/>
          <w:b/>
          <w:color w:val="FFFFFF" w:themeColor="background1"/>
          <w:sz w:val="36"/>
          <w:szCs w:val="36"/>
        </w:rPr>
      </w:pPr>
      <w:r w:rsidRPr="00821944">
        <w:rPr>
          <w:rFonts w:cs="Arial"/>
          <w:b/>
          <w:color w:val="FFFFFF" w:themeColor="background1"/>
          <w:sz w:val="36"/>
          <w:szCs w:val="36"/>
        </w:rPr>
        <w:t xml:space="preserve">Methodology | </w:t>
      </w:r>
      <w:r w:rsidR="00564994" w:rsidRPr="00821944">
        <w:rPr>
          <w:rFonts w:cs="Arial"/>
          <w:b/>
          <w:color w:val="FFFFFF" w:themeColor="background1"/>
          <w:sz w:val="36"/>
          <w:szCs w:val="36"/>
        </w:rPr>
        <w:t>Diabetes</w:t>
      </w:r>
    </w:p>
    <w:p w14:paraId="72A2EDEB" w14:textId="77777777" w:rsidR="00821944" w:rsidRDefault="00821944" w:rsidP="00045C36">
      <w:pPr>
        <w:jc w:val="center"/>
        <w:rPr>
          <w:rFonts w:cs="Arial"/>
          <w:b/>
          <w:color w:val="FFFFFF" w:themeColor="background1"/>
          <w:sz w:val="36"/>
          <w:szCs w:val="36"/>
        </w:rPr>
      </w:pPr>
    </w:p>
    <w:p w14:paraId="411AB022" w14:textId="57DA1FEE" w:rsidR="00821944" w:rsidRPr="00821944" w:rsidRDefault="001F6067" w:rsidP="00045C36">
      <w:pPr>
        <w:jc w:val="center"/>
        <w:rPr>
          <w:rFonts w:cs="Arial"/>
          <w:b/>
          <w:color w:val="FFFFFF" w:themeColor="background1"/>
          <w:sz w:val="28"/>
          <w:szCs w:val="28"/>
        </w:rPr>
      </w:pPr>
      <w:r>
        <w:rPr>
          <w:rFonts w:cs="Arial"/>
          <w:b/>
          <w:color w:val="FFFFFF" w:themeColor="background1"/>
          <w:sz w:val="28"/>
          <w:szCs w:val="28"/>
        </w:rPr>
        <w:t>June 202</w:t>
      </w:r>
      <w:r w:rsidR="00411B8A">
        <w:rPr>
          <w:rFonts w:cs="Arial"/>
          <w:b/>
          <w:color w:val="FFFFFF" w:themeColor="background1"/>
          <w:sz w:val="28"/>
          <w:szCs w:val="28"/>
        </w:rPr>
        <w:t>4</w:t>
      </w:r>
    </w:p>
    <w:p w14:paraId="6F98A3AE" w14:textId="77777777" w:rsidR="00045C36" w:rsidRPr="00D4432C" w:rsidRDefault="00045C36" w:rsidP="00045C36">
      <w:pPr>
        <w:jc w:val="center"/>
        <w:rPr>
          <w:rFonts w:cs="Arial"/>
          <w:i/>
          <w:sz w:val="36"/>
          <w:szCs w:val="36"/>
        </w:rPr>
      </w:pPr>
    </w:p>
    <w:p w14:paraId="4DCC30B6" w14:textId="77777777" w:rsidR="00045C36" w:rsidRPr="00D4432C" w:rsidRDefault="00045C36" w:rsidP="00045C36">
      <w:pPr>
        <w:jc w:val="center"/>
        <w:rPr>
          <w:rFonts w:cs="Arial"/>
          <w:i/>
          <w:sz w:val="36"/>
          <w:szCs w:val="36"/>
        </w:rPr>
      </w:pPr>
    </w:p>
    <w:p w14:paraId="2D75A28A" w14:textId="77777777" w:rsidR="00045C36" w:rsidRDefault="00045C36" w:rsidP="00045C36">
      <w:pPr>
        <w:jc w:val="center"/>
        <w:rPr>
          <w:rFonts w:cs="Arial"/>
          <w:b/>
          <w:sz w:val="36"/>
          <w:szCs w:val="36"/>
        </w:rPr>
      </w:pPr>
    </w:p>
    <w:p w14:paraId="14E95B9B" w14:textId="77777777" w:rsidR="00045C36" w:rsidRDefault="00045C36" w:rsidP="00045C36">
      <w:pPr>
        <w:jc w:val="center"/>
        <w:rPr>
          <w:rFonts w:cs="Arial"/>
          <w:b/>
          <w:sz w:val="36"/>
          <w:szCs w:val="36"/>
        </w:rPr>
      </w:pPr>
    </w:p>
    <w:p w14:paraId="576C0A1F" w14:textId="77777777" w:rsidR="00045C36" w:rsidRDefault="00045C36" w:rsidP="00045C36">
      <w:pPr>
        <w:jc w:val="center"/>
        <w:rPr>
          <w:rFonts w:cs="Arial"/>
          <w:b/>
          <w:sz w:val="36"/>
          <w:szCs w:val="36"/>
        </w:rPr>
      </w:pPr>
    </w:p>
    <w:p w14:paraId="66CD25AB" w14:textId="77777777" w:rsidR="00045C36" w:rsidRDefault="00045C36" w:rsidP="00045C36">
      <w:pPr>
        <w:jc w:val="center"/>
        <w:rPr>
          <w:rFonts w:cs="Arial"/>
          <w:b/>
          <w:sz w:val="36"/>
          <w:szCs w:val="36"/>
        </w:rPr>
      </w:pPr>
    </w:p>
    <w:p w14:paraId="672B0C3A" w14:textId="77777777" w:rsidR="00045C36" w:rsidRDefault="00045C36" w:rsidP="00045C36">
      <w:pPr>
        <w:jc w:val="center"/>
        <w:rPr>
          <w:rFonts w:cs="Arial"/>
          <w:b/>
          <w:sz w:val="36"/>
          <w:szCs w:val="36"/>
        </w:rPr>
      </w:pPr>
    </w:p>
    <w:p w14:paraId="7980F79D" w14:textId="77777777" w:rsidR="00045C36" w:rsidRDefault="00045C36" w:rsidP="00045C36">
      <w:pPr>
        <w:rPr>
          <w:rFonts w:cs="Arial"/>
          <w:b/>
          <w:sz w:val="36"/>
          <w:szCs w:val="36"/>
        </w:rPr>
      </w:pPr>
    </w:p>
    <w:p w14:paraId="63A84D7A" w14:textId="77777777" w:rsidR="00045C36" w:rsidRDefault="00045C36" w:rsidP="00045C36">
      <w:pPr>
        <w:rPr>
          <w:rFonts w:cs="Arial"/>
          <w:b/>
          <w:sz w:val="36"/>
          <w:szCs w:val="36"/>
        </w:rPr>
      </w:pPr>
    </w:p>
    <w:p w14:paraId="4AB11C82" w14:textId="77777777" w:rsidR="00045C36" w:rsidRDefault="00045C36" w:rsidP="00045C36">
      <w:pPr>
        <w:rPr>
          <w:rFonts w:cs="Arial"/>
          <w:b/>
          <w:sz w:val="36"/>
          <w:szCs w:val="36"/>
        </w:rPr>
      </w:pPr>
    </w:p>
    <w:p w14:paraId="079F833E" w14:textId="77777777" w:rsidR="00045C36" w:rsidRDefault="00045C36" w:rsidP="00045C36">
      <w:pPr>
        <w:rPr>
          <w:rFonts w:cs="Arial"/>
          <w:b/>
          <w:sz w:val="36"/>
          <w:szCs w:val="36"/>
        </w:rPr>
      </w:pPr>
    </w:p>
    <w:p w14:paraId="0D7A971A" w14:textId="77777777" w:rsidR="0000087A" w:rsidRPr="004846B0" w:rsidRDefault="0000087A" w:rsidP="00045C36">
      <w:pPr>
        <w:rPr>
          <w:rFonts w:cs="Arial"/>
          <w:b/>
          <w:sz w:val="36"/>
          <w:szCs w:val="36"/>
        </w:rPr>
      </w:pPr>
    </w:p>
    <w:p w14:paraId="25C81ED0" w14:textId="77777777" w:rsidR="00045C36" w:rsidRDefault="00045C36" w:rsidP="00F05A23">
      <w:pPr>
        <w:jc w:val="center"/>
        <w:rPr>
          <w:rFonts w:cs="Arial"/>
          <w:b/>
          <w:szCs w:val="22"/>
        </w:rPr>
      </w:pPr>
    </w:p>
    <w:p w14:paraId="4CF28207" w14:textId="6E7C4D76" w:rsidR="00565FF9" w:rsidRPr="008F54F1" w:rsidRDefault="00565FF9" w:rsidP="00223369">
      <w:pPr>
        <w:pStyle w:val="Heading3"/>
      </w:pPr>
      <w:r w:rsidRPr="008F54F1">
        <w:lastRenderedPageBreak/>
        <w:t>General points</w:t>
      </w:r>
    </w:p>
    <w:p w14:paraId="535F8055" w14:textId="77777777" w:rsidR="001741EB" w:rsidRDefault="001741EB" w:rsidP="00653FE2">
      <w:pPr>
        <w:numPr>
          <w:ilvl w:val="0"/>
          <w:numId w:val="4"/>
        </w:numPr>
        <w:spacing w:after="120"/>
        <w:ind w:left="357" w:hanging="357"/>
      </w:pPr>
      <w:r>
        <w:t xml:space="preserve">Data is not presented where the number of people in the numerator was less than 10. This is to preserve confidentiality. </w:t>
      </w:r>
    </w:p>
    <w:p w14:paraId="11CB1D51" w14:textId="7678BA88" w:rsidR="001741EB" w:rsidRDefault="001741EB" w:rsidP="00653FE2">
      <w:pPr>
        <w:numPr>
          <w:ilvl w:val="0"/>
          <w:numId w:val="4"/>
        </w:numPr>
        <w:spacing w:after="120"/>
        <w:ind w:left="357" w:hanging="357"/>
      </w:pPr>
      <w:r>
        <w:t xml:space="preserve">People were assigned to their Health New Zealand </w:t>
      </w:r>
      <w:r w:rsidR="0078733C">
        <w:rPr>
          <w:rFonts w:cs="Arial"/>
        </w:rPr>
        <w:t>‒</w:t>
      </w:r>
      <w:r w:rsidR="0078733C">
        <w:t xml:space="preserve"> </w:t>
      </w:r>
      <w:r>
        <w:t xml:space="preserve">Te </w:t>
      </w:r>
      <w:proofErr w:type="spellStart"/>
      <w:r>
        <w:t>Whatu</w:t>
      </w:r>
      <w:proofErr w:type="spellEnd"/>
      <w:r>
        <w:t xml:space="preserve"> Ora (Health New Zealand) district of domicile; where more than one domicile was recorded, the most recent value was selected.</w:t>
      </w:r>
    </w:p>
    <w:p w14:paraId="38305723" w14:textId="1098DB09" w:rsidR="001741EB" w:rsidRDefault="001741EB" w:rsidP="00653FE2">
      <w:pPr>
        <w:numPr>
          <w:ilvl w:val="0"/>
          <w:numId w:val="4"/>
        </w:numPr>
        <w:spacing w:after="120"/>
        <w:ind w:left="357" w:hanging="357"/>
      </w:pPr>
      <w:r>
        <w:t>Ethnicity data presented is prioritised ethnic group (Māori, Pacific peoples, Indian and European/other). Prioritised ethnic groups involve each participant being assigned to a single ethnic group, based on the ethnicities they have identified with, in the prioritised order of Māori, Pacific peoples, Indian and European/</w:t>
      </w:r>
      <w:r w:rsidR="0078733C">
        <w:t>other</w:t>
      </w:r>
      <w:r>
        <w:t>. The European</w:t>
      </w:r>
      <w:r w:rsidR="0078733C">
        <w:t xml:space="preserve">/other </w:t>
      </w:r>
      <w:r>
        <w:t xml:space="preserve">ethnic group includes persons of the following ethnicities: European (including New Zealand European), MELAA (Middle Eastern, Latin </w:t>
      </w:r>
      <w:proofErr w:type="gramStart"/>
      <w:r>
        <w:t>American</w:t>
      </w:r>
      <w:proofErr w:type="gramEnd"/>
      <w:r>
        <w:t xml:space="preserve"> and African), other Asian</w:t>
      </w:r>
      <w:r w:rsidR="0069050F">
        <w:t xml:space="preserve"> and</w:t>
      </w:r>
      <w:r>
        <w:t xml:space="preserve"> Other. Where people report different ethnic groups at different timepoints, the most recent value is selected. </w:t>
      </w:r>
    </w:p>
    <w:p w14:paraId="1D398615" w14:textId="5317A3D6" w:rsidR="001741EB" w:rsidRDefault="00D31C8E" w:rsidP="00653FE2">
      <w:pPr>
        <w:pStyle w:val="ListParagraph"/>
        <w:numPr>
          <w:ilvl w:val="0"/>
          <w:numId w:val="4"/>
        </w:numPr>
        <w:spacing w:after="60"/>
        <w:ind w:left="357" w:hanging="357"/>
        <w:contextualSpacing w:val="0"/>
        <w:rPr>
          <w:bCs/>
        </w:rPr>
      </w:pPr>
      <w:r>
        <w:rPr>
          <w:bCs/>
        </w:rPr>
        <w:t>Rates</w:t>
      </w:r>
      <w:r w:rsidRPr="00FD6AEC">
        <w:rPr>
          <w:bCs/>
        </w:rPr>
        <w:t xml:space="preserve"> </w:t>
      </w:r>
      <w:r w:rsidR="001741EB" w:rsidRPr="00FD6AEC">
        <w:rPr>
          <w:bCs/>
        </w:rPr>
        <w:t>are not age standardised</w:t>
      </w:r>
      <w:r w:rsidR="0078733C">
        <w:rPr>
          <w:bCs/>
        </w:rPr>
        <w:t>;</w:t>
      </w:r>
      <w:r w:rsidR="00C136B3">
        <w:rPr>
          <w:bCs/>
        </w:rPr>
        <w:t xml:space="preserve"> this means our</w:t>
      </w:r>
      <w:r w:rsidR="001741EB" w:rsidRPr="00FD6AEC">
        <w:rPr>
          <w:bCs/>
        </w:rPr>
        <w:t xml:space="preserve"> prevalence rates are different </w:t>
      </w:r>
      <w:r w:rsidR="00246922">
        <w:rPr>
          <w:bCs/>
        </w:rPr>
        <w:t>to</w:t>
      </w:r>
      <w:r w:rsidR="001741EB" w:rsidRPr="00FD6AEC">
        <w:rPr>
          <w:bCs/>
        </w:rPr>
        <w:t xml:space="preserve"> </w:t>
      </w:r>
      <w:r w:rsidR="00C136B3">
        <w:rPr>
          <w:bCs/>
        </w:rPr>
        <w:t>those on the</w:t>
      </w:r>
      <w:r w:rsidR="001741EB" w:rsidRPr="00FD6AEC">
        <w:rPr>
          <w:bCs/>
        </w:rPr>
        <w:t xml:space="preserve"> Health New Zealand diabetes dashboard (</w:t>
      </w:r>
      <w:hyperlink r:id="rId14" w:history="1">
        <w:r w:rsidR="0069050F" w:rsidRPr="00D7612C">
          <w:rPr>
            <w:rStyle w:val="Hyperlink"/>
            <w:bCs/>
          </w:rPr>
          <w:t>https://tewhatuora.shinyapps.io/virtual-diabetes-register-web-tool/</w:t>
        </w:r>
      </w:hyperlink>
      <w:r w:rsidR="001741EB" w:rsidRPr="00FD6AEC">
        <w:rPr>
          <w:bCs/>
        </w:rPr>
        <w:t>).</w:t>
      </w:r>
    </w:p>
    <w:p w14:paraId="27796B4D" w14:textId="73453882" w:rsidR="00246922" w:rsidRPr="00246922" w:rsidRDefault="00246922" w:rsidP="00653FE2">
      <w:pPr>
        <w:pStyle w:val="ListParagraph"/>
        <w:numPr>
          <w:ilvl w:val="0"/>
          <w:numId w:val="4"/>
        </w:numPr>
        <w:spacing w:after="60"/>
        <w:ind w:left="357" w:hanging="357"/>
        <w:contextualSpacing w:val="0"/>
        <w:rPr>
          <w:bCs/>
        </w:rPr>
      </w:pPr>
      <w:bookmarkStart w:id="0" w:name="_Hlk163119023"/>
      <w:r w:rsidRPr="003E66F8">
        <w:rPr>
          <w:bCs/>
        </w:rPr>
        <w:t xml:space="preserve">For all indicators, individuals with missing values for any of the variables of interest (age, gender, </w:t>
      </w:r>
      <w:proofErr w:type="gramStart"/>
      <w:r w:rsidRPr="003E66F8">
        <w:rPr>
          <w:bCs/>
        </w:rPr>
        <w:t>ethnicity</w:t>
      </w:r>
      <w:proofErr w:type="gramEnd"/>
      <w:r w:rsidRPr="003E66F8">
        <w:rPr>
          <w:bCs/>
        </w:rPr>
        <w:t xml:space="preserve"> and district) are excluded completely. For instance, if there are any missing values for age, they are excluded from all analyses. This approach ensures a consistent denominator throughout the analyses. </w:t>
      </w:r>
      <w:bookmarkEnd w:id="0"/>
    </w:p>
    <w:p w14:paraId="1843F72D" w14:textId="21A9E73F" w:rsidR="0069050F" w:rsidRPr="003E66F8" w:rsidRDefault="0069050F" w:rsidP="00653FE2">
      <w:pPr>
        <w:pStyle w:val="ListParagraph"/>
        <w:numPr>
          <w:ilvl w:val="0"/>
          <w:numId w:val="4"/>
        </w:numPr>
        <w:tabs>
          <w:tab w:val="center" w:pos="709"/>
        </w:tabs>
        <w:spacing w:after="120"/>
        <w:ind w:left="357" w:hanging="357"/>
        <w:contextualSpacing w:val="0"/>
        <w:rPr>
          <w:b/>
        </w:rPr>
      </w:pPr>
      <w:r w:rsidRPr="003E66F8">
        <w:rPr>
          <w:bCs/>
        </w:rPr>
        <w:t>Since we aggregate data for the numerator and denominator separately for Indicator</w:t>
      </w:r>
      <w:r w:rsidR="00BA3E0D">
        <w:rPr>
          <w:bCs/>
        </w:rPr>
        <w:t xml:space="preserve"> </w:t>
      </w:r>
      <w:r w:rsidRPr="003E66F8">
        <w:rPr>
          <w:bCs/>
        </w:rPr>
        <w:t xml:space="preserve">#1, we use demographic information from the </w:t>
      </w:r>
      <w:r w:rsidR="00FE1BE2">
        <w:rPr>
          <w:bCs/>
        </w:rPr>
        <w:t>Virtual Diabetes Register (</w:t>
      </w:r>
      <w:r w:rsidRPr="003E66F8">
        <w:rPr>
          <w:bCs/>
        </w:rPr>
        <w:t>VDR</w:t>
      </w:r>
      <w:r w:rsidR="00FE1BE2">
        <w:rPr>
          <w:bCs/>
        </w:rPr>
        <w:t>)</w:t>
      </w:r>
      <w:r w:rsidRPr="003E66F8">
        <w:rPr>
          <w:bCs/>
        </w:rPr>
        <w:t xml:space="preserve"> for the numerator and from the </w:t>
      </w:r>
      <w:r w:rsidR="00AC06A9">
        <w:rPr>
          <w:bCs/>
        </w:rPr>
        <w:t>Primary Health Organisation</w:t>
      </w:r>
      <w:r w:rsidR="00AC06A9" w:rsidRPr="003E66F8">
        <w:rPr>
          <w:bCs/>
        </w:rPr>
        <w:t xml:space="preserve"> </w:t>
      </w:r>
      <w:r w:rsidR="00AC06A9">
        <w:rPr>
          <w:bCs/>
        </w:rPr>
        <w:t>(PHO) E</w:t>
      </w:r>
      <w:r w:rsidR="00AC06A9" w:rsidRPr="003E66F8">
        <w:rPr>
          <w:bCs/>
        </w:rPr>
        <w:t xml:space="preserve">nrolment </w:t>
      </w:r>
      <w:r w:rsidR="00AC06A9">
        <w:rPr>
          <w:bCs/>
        </w:rPr>
        <w:t>C</w:t>
      </w:r>
      <w:r w:rsidR="00AC06A9" w:rsidRPr="003E66F8">
        <w:rPr>
          <w:bCs/>
        </w:rPr>
        <w:t xml:space="preserve">ollection </w:t>
      </w:r>
      <w:r w:rsidRPr="003E66F8">
        <w:rPr>
          <w:bCs/>
        </w:rPr>
        <w:t xml:space="preserve">for the denominator. For Indicators </w:t>
      </w:r>
      <w:r w:rsidR="00AC06A9">
        <w:rPr>
          <w:bCs/>
        </w:rPr>
        <w:t>#</w:t>
      </w:r>
      <w:r w:rsidRPr="003E66F8">
        <w:rPr>
          <w:bCs/>
        </w:rPr>
        <w:t>2</w:t>
      </w:r>
      <w:r w:rsidR="00AC06A9">
        <w:rPr>
          <w:bCs/>
        </w:rPr>
        <w:t>‒</w:t>
      </w:r>
      <w:r w:rsidRPr="003E66F8">
        <w:rPr>
          <w:bCs/>
        </w:rPr>
        <w:t xml:space="preserve">12, demographic information is taken from </w:t>
      </w:r>
      <w:r w:rsidR="00AC06A9">
        <w:rPr>
          <w:bCs/>
        </w:rPr>
        <w:t xml:space="preserve">the </w:t>
      </w:r>
      <w:r w:rsidRPr="003E66F8">
        <w:rPr>
          <w:bCs/>
        </w:rPr>
        <w:t xml:space="preserve">VDR. For Indicator </w:t>
      </w:r>
      <w:r w:rsidR="00AC06A9">
        <w:rPr>
          <w:bCs/>
        </w:rPr>
        <w:t>#</w:t>
      </w:r>
      <w:r w:rsidRPr="003E66F8">
        <w:rPr>
          <w:bCs/>
        </w:rPr>
        <w:t xml:space="preserve">13, demographic information </w:t>
      </w:r>
      <w:r w:rsidR="00AC06A9">
        <w:rPr>
          <w:bCs/>
        </w:rPr>
        <w:t xml:space="preserve">is </w:t>
      </w:r>
      <w:r w:rsidRPr="003E66F8">
        <w:rPr>
          <w:bCs/>
        </w:rPr>
        <w:t xml:space="preserve">from </w:t>
      </w:r>
      <w:r w:rsidR="00AC06A9">
        <w:rPr>
          <w:bCs/>
        </w:rPr>
        <w:t>the National Minimum Dataset (</w:t>
      </w:r>
      <w:r w:rsidRPr="003E66F8">
        <w:rPr>
          <w:bCs/>
        </w:rPr>
        <w:t>NMDS</w:t>
      </w:r>
      <w:r w:rsidR="00AC06A9">
        <w:rPr>
          <w:bCs/>
        </w:rPr>
        <w:t>)</w:t>
      </w:r>
      <w:r w:rsidRPr="003E66F8">
        <w:rPr>
          <w:bCs/>
        </w:rPr>
        <w:t xml:space="preserve">. </w:t>
      </w:r>
    </w:p>
    <w:p w14:paraId="46B280F0" w14:textId="4DCA7773" w:rsidR="0069050F" w:rsidRPr="00223369" w:rsidRDefault="0069050F" w:rsidP="00653FE2">
      <w:pPr>
        <w:pStyle w:val="ListParagraph"/>
        <w:numPr>
          <w:ilvl w:val="0"/>
          <w:numId w:val="4"/>
        </w:numPr>
        <w:spacing w:after="60"/>
        <w:ind w:left="357" w:hanging="357"/>
        <w:contextualSpacing w:val="0"/>
        <w:rPr>
          <w:bCs/>
        </w:rPr>
      </w:pPr>
      <w:bookmarkStart w:id="1" w:name="_Hlk164064723"/>
      <w:r w:rsidRPr="003E66F8">
        <w:rPr>
          <w:bCs/>
        </w:rPr>
        <w:t xml:space="preserve">For PHO analyses, we analysed </w:t>
      </w:r>
      <w:r w:rsidR="00AC06A9">
        <w:rPr>
          <w:bCs/>
        </w:rPr>
        <w:t>I</w:t>
      </w:r>
      <w:r w:rsidRPr="003E66F8">
        <w:rPr>
          <w:bCs/>
        </w:rPr>
        <w:t>ndicator</w:t>
      </w:r>
      <w:r w:rsidR="00AC06A9">
        <w:rPr>
          <w:bCs/>
        </w:rPr>
        <w:t xml:space="preserve"> </w:t>
      </w:r>
      <w:r w:rsidRPr="003E66F8">
        <w:rPr>
          <w:bCs/>
        </w:rPr>
        <w:t>#1 to determine the size of diabetic population each PHO serves. Then</w:t>
      </w:r>
      <w:r w:rsidR="00AC06A9">
        <w:rPr>
          <w:bCs/>
        </w:rPr>
        <w:t xml:space="preserve"> we</w:t>
      </w:r>
      <w:r w:rsidRPr="003E66F8">
        <w:rPr>
          <w:bCs/>
        </w:rPr>
        <w:t xml:space="preserve"> categorised them into small</w:t>
      </w:r>
      <w:r>
        <w:rPr>
          <w:bCs/>
        </w:rPr>
        <w:t xml:space="preserve"> (&lt;</w:t>
      </w:r>
      <w:r w:rsidR="00AC06A9">
        <w:rPr>
          <w:bCs/>
        </w:rPr>
        <w:t xml:space="preserve"> </w:t>
      </w:r>
      <w:r w:rsidR="00246922">
        <w:rPr>
          <w:bCs/>
        </w:rPr>
        <w:t>3,000</w:t>
      </w:r>
      <w:r>
        <w:rPr>
          <w:bCs/>
        </w:rPr>
        <w:t>)</w:t>
      </w:r>
      <w:r w:rsidRPr="003E66F8">
        <w:rPr>
          <w:bCs/>
        </w:rPr>
        <w:t>, medium</w:t>
      </w:r>
      <w:r w:rsidR="00246922">
        <w:rPr>
          <w:bCs/>
        </w:rPr>
        <w:t xml:space="preserve"> (3,000</w:t>
      </w:r>
      <w:r w:rsidR="00AC06A9">
        <w:rPr>
          <w:bCs/>
        </w:rPr>
        <w:t>‒</w:t>
      </w:r>
      <w:r w:rsidR="00246922">
        <w:rPr>
          <w:bCs/>
        </w:rPr>
        <w:t>5,000)</w:t>
      </w:r>
      <w:r w:rsidRPr="003E66F8">
        <w:rPr>
          <w:bCs/>
        </w:rPr>
        <w:t>, medium</w:t>
      </w:r>
      <w:r w:rsidR="00AC06A9">
        <w:rPr>
          <w:bCs/>
        </w:rPr>
        <w:t>‒</w:t>
      </w:r>
      <w:r w:rsidRPr="003E66F8">
        <w:rPr>
          <w:bCs/>
        </w:rPr>
        <w:t>large</w:t>
      </w:r>
      <w:r w:rsidR="00246922">
        <w:rPr>
          <w:bCs/>
        </w:rPr>
        <w:t xml:space="preserve"> (5,000</w:t>
      </w:r>
      <w:r w:rsidR="00AC06A9">
        <w:rPr>
          <w:bCs/>
        </w:rPr>
        <w:t>‒</w:t>
      </w:r>
      <w:r w:rsidR="00246922">
        <w:rPr>
          <w:bCs/>
        </w:rPr>
        <w:t>10,000)</w:t>
      </w:r>
      <w:r w:rsidRPr="003E66F8">
        <w:rPr>
          <w:bCs/>
        </w:rPr>
        <w:t xml:space="preserve"> and large</w:t>
      </w:r>
      <w:r w:rsidR="00246922">
        <w:rPr>
          <w:bCs/>
        </w:rPr>
        <w:t xml:space="preserve"> (&gt;</w:t>
      </w:r>
      <w:r w:rsidR="00AC06A9">
        <w:rPr>
          <w:bCs/>
        </w:rPr>
        <w:t xml:space="preserve"> </w:t>
      </w:r>
      <w:r w:rsidR="00246922">
        <w:rPr>
          <w:bCs/>
        </w:rPr>
        <w:t>10,000)</w:t>
      </w:r>
      <w:r w:rsidRPr="003E66F8">
        <w:rPr>
          <w:bCs/>
        </w:rPr>
        <w:t>.</w:t>
      </w:r>
      <w:bookmarkEnd w:id="1"/>
    </w:p>
    <w:p w14:paraId="0D66FC83" w14:textId="3C4A2A2E" w:rsidR="00F64B6A" w:rsidRDefault="00564994" w:rsidP="00223369">
      <w:pPr>
        <w:pStyle w:val="Heading3"/>
      </w:pPr>
      <w:r w:rsidRPr="007E51A4">
        <w:t>Data source</w:t>
      </w:r>
      <w:r w:rsidR="00AC06A9">
        <w:t>s</w:t>
      </w:r>
    </w:p>
    <w:p w14:paraId="42EFD535" w14:textId="1A9F6A0E" w:rsidR="001741EB" w:rsidRPr="00FD6AEC" w:rsidRDefault="001741EB" w:rsidP="004653E9">
      <w:pPr>
        <w:rPr>
          <w:rFonts w:cs="Arial"/>
        </w:rPr>
      </w:pPr>
      <w:r w:rsidRPr="00FD6AEC">
        <w:rPr>
          <w:rFonts w:cs="Arial"/>
        </w:rPr>
        <w:t xml:space="preserve">VDR, Health New Zealand. See </w:t>
      </w:r>
      <w:hyperlink w:anchor="app1" w:history="1">
        <w:r w:rsidRPr="00FD6AEC">
          <w:rPr>
            <w:rStyle w:val="Hyperlink"/>
            <w:rFonts w:cs="Arial"/>
          </w:rPr>
          <w:t>Appendix 1</w:t>
        </w:r>
      </w:hyperlink>
      <w:r w:rsidRPr="00FD6AEC">
        <w:rPr>
          <w:rFonts w:cs="Arial"/>
        </w:rPr>
        <w:t xml:space="preserve"> for more details about</w:t>
      </w:r>
      <w:r w:rsidR="00AC06A9">
        <w:rPr>
          <w:rFonts w:cs="Arial"/>
        </w:rPr>
        <w:t xml:space="preserve"> the</w:t>
      </w:r>
      <w:r w:rsidRPr="00FD6AEC">
        <w:rPr>
          <w:rFonts w:cs="Arial"/>
        </w:rPr>
        <w:t xml:space="preserve"> VDR.</w:t>
      </w:r>
    </w:p>
    <w:p w14:paraId="05D31984" w14:textId="77777777" w:rsidR="001741EB" w:rsidRPr="00FD6AEC" w:rsidRDefault="001741EB" w:rsidP="004653E9">
      <w:pPr>
        <w:rPr>
          <w:rFonts w:cs="Arial"/>
        </w:rPr>
      </w:pPr>
      <w:r w:rsidRPr="00FD6AEC">
        <w:rPr>
          <w:rFonts w:cs="Arial"/>
        </w:rPr>
        <w:t>Pharmaceutical Collection, Health New Zealand.</w:t>
      </w:r>
    </w:p>
    <w:p w14:paraId="0E868677" w14:textId="2BB9185F" w:rsidR="001741EB" w:rsidRPr="00FD6AEC" w:rsidRDefault="001741EB" w:rsidP="004653E9">
      <w:pPr>
        <w:rPr>
          <w:rFonts w:cs="Arial"/>
        </w:rPr>
      </w:pPr>
      <w:r w:rsidRPr="00FD6AEC">
        <w:rPr>
          <w:rFonts w:cs="Arial"/>
        </w:rPr>
        <w:t>NMDS, Health New Zealand.</w:t>
      </w:r>
    </w:p>
    <w:p w14:paraId="59E14ED5" w14:textId="76E8B818" w:rsidR="001741EB" w:rsidRDefault="0025476E" w:rsidP="001741EB">
      <w:pPr>
        <w:spacing w:after="240"/>
        <w:rPr>
          <w:rFonts w:cs="Arial"/>
        </w:rPr>
      </w:pPr>
      <w:r>
        <w:rPr>
          <w:rFonts w:cs="Arial"/>
        </w:rPr>
        <w:t xml:space="preserve">PHO </w:t>
      </w:r>
      <w:r w:rsidR="001741EB" w:rsidRPr="00FD6AEC">
        <w:rPr>
          <w:rFonts w:cs="Arial"/>
        </w:rPr>
        <w:t>Enrolment Collection, Health New Zealand.</w:t>
      </w:r>
    </w:p>
    <w:p w14:paraId="42984639" w14:textId="77777777" w:rsidR="00223369" w:rsidRDefault="001741EB" w:rsidP="00223369">
      <w:pPr>
        <w:pStyle w:val="Heading3"/>
      </w:pPr>
      <w:r w:rsidRPr="00FC6048">
        <w:t>Exclusions</w:t>
      </w:r>
      <w:r w:rsidR="00655C67">
        <w:t xml:space="preserve"> </w:t>
      </w:r>
    </w:p>
    <w:p w14:paraId="2677920B" w14:textId="4A2A3F38" w:rsidR="001741EB" w:rsidRDefault="001741EB" w:rsidP="004F576A">
      <w:pPr>
        <w:pStyle w:val="ListParagraph"/>
        <w:numPr>
          <w:ilvl w:val="0"/>
          <w:numId w:val="4"/>
        </w:numPr>
        <w:tabs>
          <w:tab w:val="center" w:pos="709"/>
        </w:tabs>
        <w:spacing w:after="60"/>
        <w:ind w:left="357" w:hanging="357"/>
        <w:contextualSpacing w:val="0"/>
      </w:pPr>
      <w:r w:rsidRPr="00564994">
        <w:t>People who died during the year</w:t>
      </w:r>
    </w:p>
    <w:p w14:paraId="542A705C" w14:textId="07A20A85" w:rsidR="0095783E" w:rsidRDefault="001741EB" w:rsidP="00653FE2">
      <w:pPr>
        <w:pStyle w:val="ListParagraph"/>
        <w:numPr>
          <w:ilvl w:val="0"/>
          <w:numId w:val="4"/>
        </w:numPr>
        <w:spacing w:after="240"/>
        <w:ind w:left="357" w:hanging="357"/>
        <w:contextualSpacing w:val="0"/>
      </w:pPr>
      <w:r>
        <w:t xml:space="preserve">People not enrolled in a </w:t>
      </w:r>
      <w:proofErr w:type="gramStart"/>
      <w:r>
        <w:t>PHO</w:t>
      </w:r>
      <w:proofErr w:type="gramEnd"/>
    </w:p>
    <w:p w14:paraId="694BB061" w14:textId="77777777" w:rsidR="0095783E" w:rsidRDefault="0095783E">
      <w:pPr>
        <w:spacing w:after="0" w:line="240" w:lineRule="auto"/>
        <w:rPr>
          <w:rFonts w:eastAsia="Calibri" w:cs="Arial"/>
          <w:szCs w:val="22"/>
          <w:lang w:eastAsia="en-US"/>
        </w:rPr>
      </w:pPr>
      <w:r>
        <w:br w:type="page"/>
      </w:r>
    </w:p>
    <w:tbl>
      <w:tblPr>
        <w:tblW w:w="93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A0" w:firstRow="1" w:lastRow="0" w:firstColumn="1" w:lastColumn="0" w:noHBand="0" w:noVBand="0"/>
      </w:tblPr>
      <w:tblGrid>
        <w:gridCol w:w="9351"/>
      </w:tblGrid>
      <w:tr w:rsidR="00565FF9" w:rsidRPr="008F54F1" w14:paraId="3D83B580" w14:textId="77777777" w:rsidTr="004653E9">
        <w:trPr>
          <w:trHeight w:val="327"/>
        </w:trPr>
        <w:tc>
          <w:tcPr>
            <w:tcW w:w="9351" w:type="dxa"/>
            <w:shd w:val="clear" w:color="auto" w:fill="auto"/>
            <w:vAlign w:val="center"/>
          </w:tcPr>
          <w:p w14:paraId="40A60E69" w14:textId="77777777" w:rsidR="00565FF9" w:rsidRPr="008F54F1" w:rsidRDefault="006D0484" w:rsidP="00C830F9">
            <w:pPr>
              <w:pStyle w:val="Header"/>
              <w:spacing w:before="60"/>
              <w:rPr>
                <w:rFonts w:cs="Arial"/>
                <w:b/>
                <w:szCs w:val="22"/>
              </w:rPr>
            </w:pPr>
            <w:r>
              <w:rPr>
                <w:rFonts w:cs="Arial"/>
                <w:b/>
                <w:szCs w:val="22"/>
              </w:rPr>
              <w:lastRenderedPageBreak/>
              <w:t>Standard deviation</w:t>
            </w:r>
          </w:p>
        </w:tc>
      </w:tr>
      <w:tr w:rsidR="00565FF9" w:rsidRPr="008F54F1" w14:paraId="1BAC4147" w14:textId="77777777" w:rsidTr="004653E9">
        <w:trPr>
          <w:trHeight w:val="327"/>
        </w:trPr>
        <w:tc>
          <w:tcPr>
            <w:tcW w:w="9351" w:type="dxa"/>
            <w:shd w:val="clear" w:color="auto" w:fill="auto"/>
          </w:tcPr>
          <w:p w14:paraId="3AD673FF" w14:textId="4435A711" w:rsidR="00564994" w:rsidRPr="00564994" w:rsidRDefault="00564994" w:rsidP="00564994">
            <w:pPr>
              <w:spacing w:before="60"/>
              <w:rPr>
                <w:rFonts w:cs="Arial"/>
                <w:szCs w:val="22"/>
              </w:rPr>
            </w:pPr>
            <w:r w:rsidRPr="00564994">
              <w:rPr>
                <w:rFonts w:cs="Arial"/>
                <w:szCs w:val="22"/>
              </w:rPr>
              <w:t xml:space="preserve">Data </w:t>
            </w:r>
            <w:r w:rsidR="00F64B6A">
              <w:rPr>
                <w:rFonts w:cs="Arial"/>
                <w:szCs w:val="22"/>
              </w:rPr>
              <w:t>is</w:t>
            </w:r>
            <w:r w:rsidR="00F64B6A" w:rsidRPr="00564994">
              <w:rPr>
                <w:rFonts w:cs="Arial"/>
                <w:szCs w:val="22"/>
              </w:rPr>
              <w:t xml:space="preserve"> </w:t>
            </w:r>
            <w:r w:rsidRPr="00564994">
              <w:rPr>
                <w:rFonts w:cs="Arial"/>
                <w:szCs w:val="22"/>
              </w:rPr>
              <w:t>presented as standard deviation from the mean.</w:t>
            </w:r>
          </w:p>
          <w:p w14:paraId="4A2229D9" w14:textId="3FBAD311" w:rsidR="00565FF9" w:rsidRPr="008F54F1" w:rsidRDefault="00564994" w:rsidP="00564994">
            <w:pPr>
              <w:spacing w:before="60"/>
              <w:rPr>
                <w:rFonts w:cs="Arial"/>
                <w:szCs w:val="22"/>
              </w:rPr>
            </w:pPr>
            <w:r w:rsidRPr="00564994">
              <w:rPr>
                <w:rFonts w:cs="Arial"/>
                <w:szCs w:val="22"/>
              </w:rPr>
              <w:t>Standard deviation is a statistical measure of variation from a mean. Assuming that recorded instances are normally distributed (</w:t>
            </w:r>
            <w:proofErr w:type="spellStart"/>
            <w:r w:rsidRPr="00564994">
              <w:rPr>
                <w:rFonts w:cs="Arial"/>
                <w:szCs w:val="22"/>
              </w:rPr>
              <w:t>ie</w:t>
            </w:r>
            <w:proofErr w:type="spellEnd"/>
            <w:r w:rsidRPr="00564994">
              <w:rPr>
                <w:rFonts w:cs="Arial"/>
                <w:szCs w:val="22"/>
              </w:rPr>
              <w:t xml:space="preserve">, they are in the usual ‘bell-shaped curve’), 68 percent of all recorded instances would be expected to be within one standard deviation either side of the mean and 95 percent within two standard deviations. </w:t>
            </w:r>
          </w:p>
        </w:tc>
      </w:tr>
    </w:tbl>
    <w:p w14:paraId="3A50FEC2" w14:textId="77777777" w:rsidR="00565FF9" w:rsidRDefault="00565FF9" w:rsidP="00565FF9">
      <w:pPr>
        <w:rPr>
          <w:vanish/>
        </w:rPr>
      </w:pPr>
    </w:p>
    <w:p w14:paraId="504A3AA2" w14:textId="77777777" w:rsidR="00565FF9" w:rsidRPr="009E2C89" w:rsidRDefault="00565FF9" w:rsidP="00565FF9">
      <w:pPr>
        <w:rPr>
          <w:rFonts w:cs="Arial"/>
          <w:szCs w:val="22"/>
          <w:highlight w:val="yellow"/>
        </w:rPr>
      </w:pPr>
    </w:p>
    <w:tbl>
      <w:tblPr>
        <w:tblW w:w="93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A0" w:firstRow="1" w:lastRow="0" w:firstColumn="1" w:lastColumn="0" w:noHBand="0" w:noVBand="0"/>
      </w:tblPr>
      <w:tblGrid>
        <w:gridCol w:w="9351"/>
      </w:tblGrid>
      <w:tr w:rsidR="00565FF9" w:rsidRPr="008F54F1" w14:paraId="1732C557" w14:textId="77777777" w:rsidTr="004653E9">
        <w:trPr>
          <w:trHeight w:val="327"/>
        </w:trPr>
        <w:tc>
          <w:tcPr>
            <w:tcW w:w="9351" w:type="dxa"/>
            <w:shd w:val="clear" w:color="auto" w:fill="auto"/>
            <w:vAlign w:val="center"/>
          </w:tcPr>
          <w:p w14:paraId="4AB830BE" w14:textId="77777777" w:rsidR="00565FF9" w:rsidRPr="008F54F1" w:rsidRDefault="006D0484" w:rsidP="00C830F9">
            <w:pPr>
              <w:pStyle w:val="Header"/>
              <w:spacing w:before="60"/>
              <w:rPr>
                <w:rFonts w:cs="Arial"/>
                <w:b/>
                <w:szCs w:val="22"/>
              </w:rPr>
            </w:pPr>
            <w:r w:rsidRPr="006D0484">
              <w:rPr>
                <w:rFonts w:cs="Arial"/>
                <w:b/>
                <w:szCs w:val="22"/>
              </w:rPr>
              <w:t>Confidence intervals</w:t>
            </w:r>
          </w:p>
        </w:tc>
      </w:tr>
      <w:tr w:rsidR="00565FF9" w:rsidRPr="008F54F1" w14:paraId="71835BC8" w14:textId="77777777" w:rsidTr="004653E9">
        <w:trPr>
          <w:trHeight w:val="327"/>
        </w:trPr>
        <w:tc>
          <w:tcPr>
            <w:tcW w:w="9351" w:type="dxa"/>
            <w:shd w:val="clear" w:color="auto" w:fill="auto"/>
          </w:tcPr>
          <w:p w14:paraId="11C945B1" w14:textId="65B775AC" w:rsidR="00565FF9" w:rsidRPr="008F54F1" w:rsidRDefault="00223369" w:rsidP="00F9223E">
            <w:pPr>
              <w:spacing w:before="60"/>
              <w:rPr>
                <w:rFonts w:cs="Arial"/>
                <w:szCs w:val="22"/>
              </w:rPr>
            </w:pPr>
            <w:r w:rsidRPr="00223369">
              <w:rPr>
                <w:rFonts w:cs="Arial"/>
                <w:szCs w:val="22"/>
              </w:rPr>
              <w:t xml:space="preserve">Data for each Health New Zealand district (previously referred to as </w:t>
            </w:r>
            <w:r w:rsidR="00C830F9" w:rsidRPr="00223369">
              <w:rPr>
                <w:rFonts w:cs="Arial"/>
                <w:szCs w:val="22"/>
              </w:rPr>
              <w:t>district health board</w:t>
            </w:r>
            <w:r w:rsidR="00C830F9">
              <w:rPr>
                <w:rFonts w:cs="Arial"/>
                <w:szCs w:val="22"/>
              </w:rPr>
              <w:t xml:space="preserve">s or </w:t>
            </w:r>
            <w:r w:rsidRPr="00223369">
              <w:rPr>
                <w:rFonts w:cs="Arial"/>
                <w:szCs w:val="22"/>
              </w:rPr>
              <w:t>DHB</w:t>
            </w:r>
            <w:r w:rsidR="00C830F9">
              <w:rPr>
                <w:rFonts w:cs="Arial"/>
                <w:szCs w:val="22"/>
              </w:rPr>
              <w:t>s</w:t>
            </w:r>
            <w:r w:rsidRPr="00223369">
              <w:rPr>
                <w:rFonts w:cs="Arial"/>
                <w:szCs w:val="22"/>
              </w:rPr>
              <w:t>) is presented as a percentage and compared with</w:t>
            </w:r>
            <w:r w:rsidR="00D97737">
              <w:rPr>
                <w:rFonts w:cs="Arial"/>
                <w:szCs w:val="22"/>
              </w:rPr>
              <w:t xml:space="preserve"> the</w:t>
            </w:r>
            <w:r w:rsidRPr="00223369">
              <w:rPr>
                <w:rFonts w:cs="Arial"/>
                <w:szCs w:val="22"/>
              </w:rPr>
              <w:t xml:space="preserve"> total </w:t>
            </w:r>
            <w:r w:rsidR="00C830F9">
              <w:rPr>
                <w:rFonts w:cs="Arial"/>
                <w:szCs w:val="22"/>
              </w:rPr>
              <w:t>New Zealand</w:t>
            </w:r>
            <w:r w:rsidR="00C830F9" w:rsidRPr="00223369">
              <w:rPr>
                <w:rFonts w:cs="Arial"/>
                <w:szCs w:val="22"/>
              </w:rPr>
              <w:t xml:space="preserve"> </w:t>
            </w:r>
            <w:r w:rsidRPr="00223369">
              <w:rPr>
                <w:rFonts w:cs="Arial"/>
                <w:szCs w:val="22"/>
              </w:rPr>
              <w:t xml:space="preserve">rate for the same combination of demographics. Upper and lower confidence intervals were calculated to 95 percent level of confidence. If the confidence intervals </w:t>
            </w:r>
            <w:r w:rsidR="00C830F9">
              <w:rPr>
                <w:rFonts w:cs="Arial"/>
                <w:szCs w:val="22"/>
              </w:rPr>
              <w:t>do not</w:t>
            </w:r>
            <w:r w:rsidR="00C830F9" w:rsidRPr="00223369">
              <w:rPr>
                <w:rFonts w:cs="Arial"/>
                <w:szCs w:val="22"/>
              </w:rPr>
              <w:t xml:space="preserve"> </w:t>
            </w:r>
            <w:r w:rsidRPr="00223369">
              <w:rPr>
                <w:rFonts w:cs="Arial"/>
                <w:szCs w:val="22"/>
              </w:rPr>
              <w:t xml:space="preserve">overlap, there is a significant difference between the results. If the upper limit of the Health New Zealand district confidence interval is less than the lower limit of the </w:t>
            </w:r>
            <w:r w:rsidR="00C830F9">
              <w:rPr>
                <w:rFonts w:cs="Arial"/>
                <w:szCs w:val="22"/>
              </w:rPr>
              <w:t>New Zealand</w:t>
            </w:r>
            <w:r w:rsidR="00C830F9" w:rsidRPr="00223369">
              <w:rPr>
                <w:rFonts w:cs="Arial"/>
                <w:szCs w:val="22"/>
              </w:rPr>
              <w:t xml:space="preserve"> </w:t>
            </w:r>
            <w:r w:rsidRPr="00223369">
              <w:rPr>
                <w:rFonts w:cs="Arial"/>
                <w:szCs w:val="22"/>
              </w:rPr>
              <w:t xml:space="preserve">confidence interval, then the result will be </w:t>
            </w:r>
            <w:r w:rsidR="00C830F9">
              <w:rPr>
                <w:rFonts w:cs="Arial"/>
                <w:szCs w:val="22"/>
              </w:rPr>
              <w:t>‘</w:t>
            </w:r>
            <w:r w:rsidRPr="00223369">
              <w:rPr>
                <w:rFonts w:cs="Arial"/>
                <w:szCs w:val="22"/>
              </w:rPr>
              <w:t>Significantly lower</w:t>
            </w:r>
            <w:r w:rsidR="00C830F9">
              <w:rPr>
                <w:rFonts w:cs="Arial"/>
                <w:szCs w:val="22"/>
              </w:rPr>
              <w:t>’</w:t>
            </w:r>
            <w:r w:rsidRPr="00223369">
              <w:rPr>
                <w:rFonts w:cs="Arial"/>
                <w:szCs w:val="22"/>
              </w:rPr>
              <w:t xml:space="preserve">. </w:t>
            </w:r>
            <w:r w:rsidR="00C830F9">
              <w:rPr>
                <w:rFonts w:cs="Arial"/>
                <w:szCs w:val="22"/>
              </w:rPr>
              <w:t>I</w:t>
            </w:r>
            <w:r w:rsidRPr="00223369">
              <w:rPr>
                <w:rFonts w:cs="Arial"/>
                <w:szCs w:val="22"/>
              </w:rPr>
              <w:t xml:space="preserve">f the lower limit of the Health New Zealand district confidence interval is greater than the upper limit of the </w:t>
            </w:r>
            <w:r w:rsidR="00C830F9">
              <w:rPr>
                <w:rFonts w:cs="Arial"/>
                <w:szCs w:val="22"/>
              </w:rPr>
              <w:t>New Zealand</w:t>
            </w:r>
            <w:r w:rsidR="00C830F9" w:rsidRPr="00223369">
              <w:rPr>
                <w:rFonts w:cs="Arial"/>
                <w:szCs w:val="22"/>
              </w:rPr>
              <w:t xml:space="preserve"> </w:t>
            </w:r>
            <w:r w:rsidRPr="00223369">
              <w:rPr>
                <w:rFonts w:cs="Arial"/>
                <w:szCs w:val="22"/>
              </w:rPr>
              <w:t xml:space="preserve">confidence interval, the result will be </w:t>
            </w:r>
            <w:r w:rsidR="00C830F9">
              <w:rPr>
                <w:rFonts w:cs="Arial"/>
                <w:szCs w:val="22"/>
              </w:rPr>
              <w:t>‘</w:t>
            </w:r>
            <w:r w:rsidRPr="00223369">
              <w:rPr>
                <w:rFonts w:cs="Arial"/>
                <w:szCs w:val="22"/>
              </w:rPr>
              <w:t>Significantly higher</w:t>
            </w:r>
            <w:r w:rsidR="00C830F9">
              <w:rPr>
                <w:rFonts w:cs="Arial"/>
                <w:szCs w:val="22"/>
              </w:rPr>
              <w:t>’</w:t>
            </w:r>
            <w:r w:rsidRPr="00223369">
              <w:rPr>
                <w:rFonts w:cs="Arial"/>
                <w:szCs w:val="22"/>
              </w:rPr>
              <w:t xml:space="preserve">. Otherwise, the result is </w:t>
            </w:r>
            <w:r w:rsidR="00C830F9">
              <w:rPr>
                <w:rFonts w:cs="Arial"/>
                <w:szCs w:val="22"/>
              </w:rPr>
              <w:t>‘</w:t>
            </w:r>
            <w:r w:rsidRPr="00223369">
              <w:rPr>
                <w:rFonts w:cs="Arial"/>
                <w:szCs w:val="22"/>
              </w:rPr>
              <w:t>Not significantly different</w:t>
            </w:r>
            <w:r w:rsidR="00C830F9">
              <w:rPr>
                <w:rFonts w:cs="Arial"/>
                <w:szCs w:val="22"/>
              </w:rPr>
              <w:t>’</w:t>
            </w:r>
            <w:r w:rsidRPr="00223369">
              <w:rPr>
                <w:rFonts w:cs="Arial"/>
                <w:szCs w:val="22"/>
              </w:rPr>
              <w:t>.</w:t>
            </w:r>
          </w:p>
        </w:tc>
      </w:tr>
    </w:tbl>
    <w:p w14:paraId="5765089B" w14:textId="77777777" w:rsidR="00565FF9" w:rsidRDefault="00565FF9" w:rsidP="00565FF9">
      <w:pPr>
        <w:rPr>
          <w:rFonts w:cs="Arial"/>
          <w:szCs w:val="22"/>
        </w:rPr>
      </w:pPr>
    </w:p>
    <w:tbl>
      <w:tblPr>
        <w:tblW w:w="932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A0" w:firstRow="1" w:lastRow="0" w:firstColumn="1" w:lastColumn="0" w:noHBand="0" w:noVBand="0"/>
      </w:tblPr>
      <w:tblGrid>
        <w:gridCol w:w="1668"/>
        <w:gridCol w:w="7654"/>
      </w:tblGrid>
      <w:tr w:rsidR="00564994" w:rsidRPr="00D42C24" w14:paraId="52DFCED1" w14:textId="77777777" w:rsidTr="008A3436">
        <w:trPr>
          <w:trHeight w:val="327"/>
        </w:trPr>
        <w:tc>
          <w:tcPr>
            <w:tcW w:w="1668" w:type="dxa"/>
            <w:shd w:val="clear" w:color="auto" w:fill="auto"/>
          </w:tcPr>
          <w:p w14:paraId="5A081360" w14:textId="77777777" w:rsidR="00564994" w:rsidRPr="00D42C24" w:rsidRDefault="00564994" w:rsidP="00564994">
            <w:pPr>
              <w:pStyle w:val="Header"/>
              <w:spacing w:before="60"/>
              <w:rPr>
                <w:rFonts w:cs="Arial"/>
                <w:b/>
                <w:color w:val="808080"/>
                <w:szCs w:val="22"/>
              </w:rPr>
            </w:pPr>
            <w:r w:rsidRPr="00D42C24">
              <w:rPr>
                <w:rFonts w:cs="Arial"/>
                <w:b/>
                <w:szCs w:val="22"/>
              </w:rPr>
              <w:t>Indicator #1:</w:t>
            </w:r>
          </w:p>
        </w:tc>
        <w:tc>
          <w:tcPr>
            <w:tcW w:w="7654" w:type="dxa"/>
            <w:shd w:val="clear" w:color="auto" w:fill="auto"/>
            <w:vAlign w:val="bottom"/>
          </w:tcPr>
          <w:p w14:paraId="02DC2764" w14:textId="5218B7EA" w:rsidR="00564994" w:rsidRPr="00D42C24" w:rsidRDefault="00564994" w:rsidP="00564994">
            <w:pPr>
              <w:pStyle w:val="Header"/>
              <w:spacing w:before="60"/>
              <w:rPr>
                <w:rFonts w:cs="Arial"/>
                <w:b/>
                <w:color w:val="000000"/>
                <w:szCs w:val="22"/>
              </w:rPr>
            </w:pPr>
            <w:r>
              <w:t>Prevalence of diabetes</w:t>
            </w:r>
          </w:p>
        </w:tc>
      </w:tr>
      <w:tr w:rsidR="00564994" w:rsidRPr="00D42C24" w14:paraId="4B07C97A" w14:textId="77777777" w:rsidTr="008A3436">
        <w:trPr>
          <w:trHeight w:val="327"/>
        </w:trPr>
        <w:tc>
          <w:tcPr>
            <w:tcW w:w="1668" w:type="dxa"/>
            <w:shd w:val="clear" w:color="auto" w:fill="auto"/>
          </w:tcPr>
          <w:p w14:paraId="6F0DF733" w14:textId="2EC4CEE7" w:rsidR="00564994" w:rsidRPr="00D42C24" w:rsidRDefault="00105535" w:rsidP="00564994">
            <w:pPr>
              <w:pStyle w:val="Header"/>
              <w:spacing w:before="60"/>
              <w:rPr>
                <w:rFonts w:cs="Arial"/>
                <w:szCs w:val="22"/>
              </w:rPr>
            </w:pPr>
            <w:r>
              <w:rPr>
                <w:rFonts w:cs="Arial"/>
                <w:szCs w:val="22"/>
              </w:rPr>
              <w:t>Numerator</w:t>
            </w:r>
          </w:p>
        </w:tc>
        <w:tc>
          <w:tcPr>
            <w:tcW w:w="7654" w:type="dxa"/>
            <w:shd w:val="clear" w:color="auto" w:fill="auto"/>
            <w:vAlign w:val="bottom"/>
          </w:tcPr>
          <w:p w14:paraId="3024A19A" w14:textId="77777777" w:rsidR="00E06567" w:rsidRDefault="00114E54" w:rsidP="00564994">
            <w:pPr>
              <w:pStyle w:val="Header"/>
              <w:spacing w:before="60"/>
            </w:pPr>
            <w:r>
              <w:rPr>
                <w:rFonts w:cs="Arial"/>
                <w:szCs w:val="22"/>
              </w:rPr>
              <w:t>Count of distinct master NHIs</w:t>
            </w:r>
            <w:r w:rsidDel="00114E54">
              <w:t xml:space="preserve"> </w:t>
            </w:r>
            <w:r w:rsidR="00564994">
              <w:t xml:space="preserve">identified as having diabetes </w:t>
            </w:r>
            <w:r>
              <w:t xml:space="preserve">as per the </w:t>
            </w:r>
            <w:proofErr w:type="gramStart"/>
            <w:r>
              <w:t>VDR</w:t>
            </w:r>
            <w:proofErr w:type="gramEnd"/>
          </w:p>
          <w:p w14:paraId="05D1571E" w14:textId="08585822" w:rsidR="00564994" w:rsidRPr="00D42C24" w:rsidRDefault="00E06567" w:rsidP="00564994">
            <w:pPr>
              <w:pStyle w:val="Header"/>
              <w:spacing w:before="60"/>
              <w:rPr>
                <w:rFonts w:cs="Arial"/>
                <w:color w:val="000000"/>
                <w:szCs w:val="22"/>
              </w:rPr>
            </w:pPr>
            <w:r>
              <w:rPr>
                <w:rFonts w:cs="Arial"/>
                <w:color w:val="000000"/>
                <w:szCs w:val="22"/>
              </w:rPr>
              <w:t>Note: Women diagnosed with gestational diabetes are not included.</w:t>
            </w:r>
            <w:r w:rsidR="00114E54">
              <w:t xml:space="preserve"> </w:t>
            </w:r>
          </w:p>
        </w:tc>
      </w:tr>
      <w:tr w:rsidR="00564994" w:rsidRPr="00D42C24" w14:paraId="0066F3EF" w14:textId="77777777" w:rsidTr="008A3436">
        <w:trPr>
          <w:trHeight w:val="327"/>
        </w:trPr>
        <w:tc>
          <w:tcPr>
            <w:tcW w:w="1668" w:type="dxa"/>
            <w:shd w:val="clear" w:color="auto" w:fill="auto"/>
          </w:tcPr>
          <w:p w14:paraId="04C93447" w14:textId="77777777" w:rsidR="00564994" w:rsidRPr="00D42C24" w:rsidRDefault="00564994" w:rsidP="00564994">
            <w:pPr>
              <w:pStyle w:val="Header"/>
              <w:spacing w:before="60"/>
              <w:rPr>
                <w:rFonts w:cs="Arial"/>
                <w:szCs w:val="22"/>
              </w:rPr>
            </w:pPr>
            <w:r w:rsidRPr="00D42C24">
              <w:rPr>
                <w:rFonts w:cs="Arial"/>
                <w:szCs w:val="22"/>
              </w:rPr>
              <w:t>Denominator</w:t>
            </w:r>
          </w:p>
        </w:tc>
        <w:tc>
          <w:tcPr>
            <w:tcW w:w="7654" w:type="dxa"/>
            <w:shd w:val="clear" w:color="auto" w:fill="auto"/>
            <w:vAlign w:val="bottom"/>
          </w:tcPr>
          <w:p w14:paraId="35E72AEF" w14:textId="5BB62341" w:rsidR="00564994" w:rsidRPr="00D42C24" w:rsidRDefault="00827B05" w:rsidP="00564994">
            <w:pPr>
              <w:pStyle w:val="Header"/>
              <w:spacing w:before="60"/>
              <w:rPr>
                <w:rFonts w:cs="Arial"/>
                <w:color w:val="000000"/>
                <w:szCs w:val="22"/>
              </w:rPr>
            </w:pPr>
            <w:r>
              <w:t>PHO enrolment</w:t>
            </w:r>
            <w:r w:rsidR="00D6250D">
              <w:t xml:space="preserve">s for relevant years </w:t>
            </w:r>
          </w:p>
        </w:tc>
      </w:tr>
      <w:tr w:rsidR="00A116F7" w:rsidRPr="00D42C24" w14:paraId="3AC2F5A1" w14:textId="77777777" w:rsidTr="008A3436">
        <w:trPr>
          <w:trHeight w:val="327"/>
        </w:trPr>
        <w:tc>
          <w:tcPr>
            <w:tcW w:w="1668" w:type="dxa"/>
            <w:shd w:val="clear" w:color="auto" w:fill="auto"/>
          </w:tcPr>
          <w:p w14:paraId="60B00739" w14:textId="5FEF6F70" w:rsidR="00A116F7" w:rsidRPr="00D42C24" w:rsidRDefault="00D90525" w:rsidP="00564994">
            <w:pPr>
              <w:pStyle w:val="Header"/>
              <w:spacing w:before="60"/>
              <w:rPr>
                <w:rFonts w:cs="Arial"/>
                <w:szCs w:val="22"/>
              </w:rPr>
            </w:pPr>
            <w:r>
              <w:rPr>
                <w:rFonts w:cs="Arial"/>
                <w:szCs w:val="22"/>
              </w:rPr>
              <w:t>By variables</w:t>
            </w:r>
          </w:p>
        </w:tc>
        <w:tc>
          <w:tcPr>
            <w:tcW w:w="7654" w:type="dxa"/>
            <w:shd w:val="clear" w:color="auto" w:fill="auto"/>
            <w:vAlign w:val="bottom"/>
          </w:tcPr>
          <w:p w14:paraId="292759BE" w14:textId="4E7A2DE1" w:rsidR="001741EB" w:rsidRDefault="001741EB" w:rsidP="001741EB">
            <w:pPr>
              <w:pStyle w:val="Header"/>
              <w:spacing w:before="60"/>
            </w:pPr>
            <w:r>
              <w:t>For single map analysis: By year (</w:t>
            </w:r>
            <w:r w:rsidR="00481942">
              <w:t>2018‒22</w:t>
            </w:r>
            <w:r>
              <w:t>), age group (</w:t>
            </w:r>
            <w:r w:rsidR="00481942">
              <w:t>0‒14</w:t>
            </w:r>
            <w:r>
              <w:t xml:space="preserve"> years, </w:t>
            </w:r>
            <w:r w:rsidR="00481942">
              <w:t>15‒24</w:t>
            </w:r>
            <w:r>
              <w:t xml:space="preserve"> years, </w:t>
            </w:r>
            <w:r w:rsidR="00481942">
              <w:t>25‒44</w:t>
            </w:r>
            <w:r>
              <w:t xml:space="preserve"> years, </w:t>
            </w:r>
            <w:r w:rsidR="00481942">
              <w:t>45‒64</w:t>
            </w:r>
            <w:r>
              <w:t xml:space="preserve"> years, </w:t>
            </w:r>
            <w:r w:rsidR="00481942">
              <w:t>65‒74</w:t>
            </w:r>
            <w:r>
              <w:t xml:space="preserve"> years</w:t>
            </w:r>
            <w:r w:rsidR="0069050F">
              <w:t xml:space="preserve"> and</w:t>
            </w:r>
            <w:r w:rsidR="00223369">
              <w:t xml:space="preserve"> </w:t>
            </w:r>
            <w:r>
              <w:t>75+ years), gender (female</w:t>
            </w:r>
            <w:r w:rsidR="00223369">
              <w:t xml:space="preserve"> and</w:t>
            </w:r>
            <w:r>
              <w:t xml:space="preserve"> male), ethnic group (Māori, Pacific peoples, Indian</w:t>
            </w:r>
            <w:r w:rsidR="00223369">
              <w:t xml:space="preserve"> and</w:t>
            </w:r>
            <w:r>
              <w:t xml:space="preserve"> </w:t>
            </w:r>
            <w:r w:rsidR="00481942">
              <w:t>European/other</w:t>
            </w:r>
            <w:r>
              <w:t>) and Health New Zealand district of domicile</w:t>
            </w:r>
            <w:r w:rsidR="00C746AC">
              <w:t>.</w:t>
            </w:r>
            <w:r>
              <w:t xml:space="preserve"> </w:t>
            </w:r>
          </w:p>
          <w:p w14:paraId="5C1207D2" w14:textId="7582913F" w:rsidR="00453906" w:rsidRDefault="001741EB" w:rsidP="001741EB">
            <w:pPr>
              <w:pStyle w:val="Header"/>
              <w:spacing w:before="60"/>
            </w:pPr>
            <w:r>
              <w:t xml:space="preserve">For PHO analysis: By year (2022), </w:t>
            </w:r>
            <w:r w:rsidR="00223369">
              <w:t>age group (</w:t>
            </w:r>
            <w:r w:rsidR="00481942">
              <w:t>0‒14</w:t>
            </w:r>
            <w:r w:rsidR="00223369">
              <w:t xml:space="preserve"> years, </w:t>
            </w:r>
            <w:r w:rsidR="00481942">
              <w:t>15‒24</w:t>
            </w:r>
            <w:r w:rsidR="00223369">
              <w:t xml:space="preserve"> years, </w:t>
            </w:r>
            <w:r w:rsidR="00481942">
              <w:t>25‒44</w:t>
            </w:r>
            <w:r w:rsidR="00223369">
              <w:t xml:space="preserve"> years, </w:t>
            </w:r>
            <w:r w:rsidR="00481942">
              <w:t>45‒64</w:t>
            </w:r>
            <w:r w:rsidR="00223369">
              <w:t xml:space="preserve"> years, </w:t>
            </w:r>
            <w:r w:rsidR="00481942">
              <w:t>65‒74</w:t>
            </w:r>
            <w:r w:rsidR="00223369">
              <w:t xml:space="preserve"> years and 75+ years), gender (female and male), ethnic group (Māori, Pacific peoples, Indian and </w:t>
            </w:r>
            <w:r w:rsidR="00481942">
              <w:t>European/other</w:t>
            </w:r>
            <w:r w:rsidR="00223369">
              <w:t>)</w:t>
            </w:r>
            <w:r>
              <w:t>, PHO most recently enrolled with (for the relevant year), PHO group (small, medium, medium</w:t>
            </w:r>
            <w:r w:rsidR="00CE25E6">
              <w:t>‒</w:t>
            </w:r>
            <w:r>
              <w:t>large and large).</w:t>
            </w:r>
          </w:p>
        </w:tc>
      </w:tr>
      <w:tr w:rsidR="00A116F7" w:rsidRPr="00D42C24" w14:paraId="539D7E50" w14:textId="77777777" w:rsidTr="008A3436">
        <w:trPr>
          <w:trHeight w:val="327"/>
        </w:trPr>
        <w:tc>
          <w:tcPr>
            <w:tcW w:w="1668" w:type="dxa"/>
            <w:shd w:val="clear" w:color="auto" w:fill="auto"/>
          </w:tcPr>
          <w:p w14:paraId="63A50161" w14:textId="401CF4CD" w:rsidR="00A116F7" w:rsidRPr="00D42C24" w:rsidRDefault="00B6427E" w:rsidP="00564994">
            <w:pPr>
              <w:pStyle w:val="Header"/>
              <w:spacing w:before="60"/>
              <w:rPr>
                <w:rFonts w:cs="Arial"/>
                <w:szCs w:val="22"/>
              </w:rPr>
            </w:pPr>
            <w:r>
              <w:rPr>
                <w:rFonts w:cs="Arial"/>
                <w:szCs w:val="22"/>
              </w:rPr>
              <w:t>Data source</w:t>
            </w:r>
          </w:p>
        </w:tc>
        <w:tc>
          <w:tcPr>
            <w:tcW w:w="7654" w:type="dxa"/>
            <w:shd w:val="clear" w:color="auto" w:fill="auto"/>
            <w:vAlign w:val="bottom"/>
          </w:tcPr>
          <w:p w14:paraId="2F245474" w14:textId="77777777" w:rsidR="00B6427E" w:rsidRDefault="00B6427E" w:rsidP="00B6427E">
            <w:pPr>
              <w:pStyle w:val="Header"/>
              <w:spacing w:before="60"/>
            </w:pPr>
            <w:r>
              <w:t xml:space="preserve">VDR </w:t>
            </w:r>
          </w:p>
          <w:p w14:paraId="4C32CADE" w14:textId="53C8C5D5" w:rsidR="00A116F7" w:rsidRDefault="00827B05" w:rsidP="004653E9">
            <w:r>
              <w:t>PHO Enrolment Collection</w:t>
            </w:r>
          </w:p>
        </w:tc>
      </w:tr>
      <w:tr w:rsidR="00564994" w:rsidRPr="00D42C24" w14:paraId="091D1CF8" w14:textId="77777777" w:rsidTr="008A3436">
        <w:trPr>
          <w:trHeight w:val="327"/>
        </w:trPr>
        <w:tc>
          <w:tcPr>
            <w:tcW w:w="1668" w:type="dxa"/>
            <w:shd w:val="clear" w:color="auto" w:fill="auto"/>
          </w:tcPr>
          <w:p w14:paraId="08A8DAE4" w14:textId="6DC7BB8D" w:rsidR="00564994" w:rsidRPr="00D42C24" w:rsidRDefault="001949BD" w:rsidP="00564994">
            <w:pPr>
              <w:pStyle w:val="Header"/>
              <w:spacing w:before="60"/>
              <w:rPr>
                <w:rFonts w:cs="Arial"/>
                <w:szCs w:val="22"/>
              </w:rPr>
            </w:pPr>
            <w:r>
              <w:rPr>
                <w:rFonts w:cs="Arial"/>
                <w:szCs w:val="22"/>
              </w:rPr>
              <w:t>Rationale</w:t>
            </w:r>
          </w:p>
        </w:tc>
        <w:tc>
          <w:tcPr>
            <w:tcW w:w="7654" w:type="dxa"/>
            <w:shd w:val="clear" w:color="auto" w:fill="auto"/>
            <w:vAlign w:val="bottom"/>
          </w:tcPr>
          <w:p w14:paraId="579D3152" w14:textId="7A283C7A" w:rsidR="00CC47D9" w:rsidRDefault="00E66563" w:rsidP="00D07B6D">
            <w:pPr>
              <w:pStyle w:val="Header"/>
              <w:spacing w:before="60"/>
              <w:rPr>
                <w:szCs w:val="22"/>
              </w:rPr>
            </w:pPr>
            <w:r w:rsidRPr="00E66563">
              <w:rPr>
                <w:rFonts w:cs="Arial"/>
                <w:color w:val="000000"/>
                <w:szCs w:val="22"/>
              </w:rPr>
              <w:t xml:space="preserve">Diabetes </w:t>
            </w:r>
            <w:r w:rsidR="00011BBD">
              <w:rPr>
                <w:rFonts w:cs="Arial"/>
                <w:color w:val="000000"/>
                <w:szCs w:val="22"/>
              </w:rPr>
              <w:t>a</w:t>
            </w:r>
            <w:r w:rsidR="00894B53">
              <w:rPr>
                <w:rFonts w:cs="Arial"/>
                <w:color w:val="000000"/>
                <w:szCs w:val="22"/>
              </w:rPr>
              <w:t xml:space="preserve">ffects </w:t>
            </w:r>
            <w:r w:rsidR="00011BBD">
              <w:rPr>
                <w:rFonts w:cs="Arial"/>
                <w:color w:val="000000"/>
                <w:szCs w:val="22"/>
              </w:rPr>
              <w:t xml:space="preserve">a </w:t>
            </w:r>
            <w:r w:rsidRPr="00E66563">
              <w:rPr>
                <w:rFonts w:cs="Arial"/>
                <w:color w:val="000000"/>
                <w:szCs w:val="22"/>
              </w:rPr>
              <w:t>significant</w:t>
            </w:r>
            <w:r w:rsidR="00AD6892">
              <w:rPr>
                <w:rFonts w:cs="Arial"/>
                <w:color w:val="000000"/>
                <w:szCs w:val="22"/>
              </w:rPr>
              <w:t xml:space="preserve"> proportion of </w:t>
            </w:r>
            <w:r w:rsidR="00011BBD">
              <w:rPr>
                <w:rFonts w:cs="Arial"/>
                <w:color w:val="000000"/>
                <w:szCs w:val="22"/>
              </w:rPr>
              <w:t xml:space="preserve">the </w:t>
            </w:r>
            <w:r w:rsidR="00AD6892">
              <w:rPr>
                <w:rFonts w:cs="Arial"/>
                <w:color w:val="000000"/>
                <w:szCs w:val="22"/>
              </w:rPr>
              <w:t xml:space="preserve">population in New Zealand, </w:t>
            </w:r>
            <w:r w:rsidR="007D3920">
              <w:rPr>
                <w:rFonts w:cs="Arial"/>
                <w:color w:val="000000"/>
                <w:szCs w:val="22"/>
              </w:rPr>
              <w:t xml:space="preserve">and </w:t>
            </w:r>
            <w:r w:rsidR="007D3920" w:rsidRPr="007D3920">
              <w:rPr>
                <w:rFonts w:cs="Arial"/>
                <w:color w:val="000000"/>
                <w:szCs w:val="22"/>
              </w:rPr>
              <w:t xml:space="preserve">an even larger number are estimated to have </w:t>
            </w:r>
            <w:r w:rsidR="007D3920">
              <w:rPr>
                <w:rFonts w:cs="Arial"/>
                <w:color w:val="000000"/>
                <w:szCs w:val="22"/>
              </w:rPr>
              <w:t>prediabetes</w:t>
            </w:r>
            <w:sdt>
              <w:sdtPr>
                <w:rPr>
                  <w:rFonts w:cs="Arial"/>
                  <w:color w:val="000000"/>
                  <w:szCs w:val="22"/>
                </w:rPr>
                <w:tag w:val="MENDELEY_CITATION_v3_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"/>
                <w:id w:val="1873031348"/>
                <w:placeholder>
                  <w:docPart w:val="DefaultPlaceholder_-1854013440"/>
                </w:placeholder>
              </w:sdtPr>
              <w:sdtEndPr/>
              <w:sdtContent>
                <w:r w:rsidR="00EB6C41">
                  <w:rPr>
                    <w:rFonts w:cs="Arial"/>
                    <w:color w:val="000000"/>
                    <w:szCs w:val="22"/>
                  </w:rPr>
                  <w:t xml:space="preserve"> </w:t>
                </w:r>
                <w:r w:rsidR="00EB6C41" w:rsidRPr="00EB6C41">
                  <w:rPr>
                    <w:rFonts w:cs="Arial"/>
                    <w:color w:val="000000"/>
                    <w:szCs w:val="22"/>
                  </w:rPr>
                  <w:t xml:space="preserve">(Coppell et al 2013; </w:t>
                </w:r>
                <w:r w:rsidR="004653E9">
                  <w:rPr>
                    <w:rFonts w:cs="Arial"/>
                    <w:color w:val="000000"/>
                    <w:szCs w:val="22"/>
                  </w:rPr>
                  <w:t>Health New Zealand</w:t>
                </w:r>
                <w:r w:rsidR="00EB6C41" w:rsidRPr="00EB6C41">
                  <w:rPr>
                    <w:rFonts w:cs="Arial"/>
                    <w:color w:val="000000"/>
                    <w:szCs w:val="22"/>
                  </w:rPr>
                  <w:t xml:space="preserve"> 2023)</w:t>
                </w:r>
              </w:sdtContent>
            </w:sdt>
            <w:r w:rsidR="007D3920">
              <w:rPr>
                <w:rFonts w:cs="Arial"/>
                <w:color w:val="000000"/>
                <w:szCs w:val="22"/>
              </w:rPr>
              <w:t>.</w:t>
            </w:r>
            <w:r w:rsidR="00FA7EBD">
              <w:rPr>
                <w:rFonts w:cs="Arial"/>
                <w:color w:val="000000"/>
                <w:szCs w:val="22"/>
              </w:rPr>
              <w:t xml:space="preserve"> </w:t>
            </w:r>
            <w:r w:rsidR="00151EEA">
              <w:rPr>
                <w:rFonts w:cs="Arial"/>
                <w:color w:val="000000"/>
                <w:szCs w:val="22"/>
              </w:rPr>
              <w:t xml:space="preserve">It is estimated that </w:t>
            </w:r>
            <w:r w:rsidR="00942CC2">
              <w:rPr>
                <w:rFonts w:cs="Arial"/>
                <w:color w:val="000000"/>
                <w:szCs w:val="22"/>
              </w:rPr>
              <w:t>about</w:t>
            </w:r>
            <w:r w:rsidR="00151EEA">
              <w:rPr>
                <w:rFonts w:cs="Arial"/>
                <w:color w:val="000000"/>
                <w:szCs w:val="22"/>
              </w:rPr>
              <w:t xml:space="preserve"> </w:t>
            </w:r>
            <w:r w:rsidR="00942CC2">
              <w:rPr>
                <w:rFonts w:cs="Arial"/>
                <w:color w:val="000000"/>
                <w:szCs w:val="22"/>
              </w:rPr>
              <w:t>307,000</w:t>
            </w:r>
            <w:r w:rsidR="00151EEA">
              <w:rPr>
                <w:rFonts w:cs="Arial"/>
                <w:color w:val="000000"/>
                <w:szCs w:val="22"/>
              </w:rPr>
              <w:t xml:space="preserve"> people are diagnosed with diabetes. </w:t>
            </w:r>
            <w:r w:rsidR="00151EEA">
              <w:rPr>
                <w:szCs w:val="22"/>
              </w:rPr>
              <w:t>Diabetes</w:t>
            </w:r>
            <w:r w:rsidR="007561C1" w:rsidRPr="002B5594">
              <w:rPr>
                <w:szCs w:val="22"/>
              </w:rPr>
              <w:t xml:space="preserve"> disproportionately affec</w:t>
            </w:r>
            <w:r w:rsidR="007561C1">
              <w:rPr>
                <w:szCs w:val="22"/>
              </w:rPr>
              <w:t>ts Pacific peoples, Indian and M</w:t>
            </w:r>
            <w:r w:rsidR="00191BD4">
              <w:rPr>
                <w:rFonts w:cs="Arial"/>
                <w:szCs w:val="22"/>
              </w:rPr>
              <w:t>ā</w:t>
            </w:r>
            <w:r w:rsidR="00CC47D9">
              <w:rPr>
                <w:szCs w:val="22"/>
              </w:rPr>
              <w:t xml:space="preserve">ori populations </w:t>
            </w:r>
            <w:r w:rsidR="008242DA">
              <w:rPr>
                <w:szCs w:val="22"/>
              </w:rPr>
              <w:t xml:space="preserve">when compared </w:t>
            </w:r>
            <w:r w:rsidR="00D221E8">
              <w:rPr>
                <w:szCs w:val="22"/>
              </w:rPr>
              <w:t xml:space="preserve">with </w:t>
            </w:r>
            <w:r w:rsidR="008242DA">
              <w:rPr>
                <w:szCs w:val="22"/>
              </w:rPr>
              <w:t>Eu</w:t>
            </w:r>
            <w:r w:rsidR="00191BD4">
              <w:rPr>
                <w:szCs w:val="22"/>
              </w:rPr>
              <w:t>r</w:t>
            </w:r>
            <w:r w:rsidR="008242DA">
              <w:rPr>
                <w:szCs w:val="22"/>
              </w:rPr>
              <w:t>opean</w:t>
            </w:r>
            <w:r w:rsidR="00D221E8">
              <w:rPr>
                <w:szCs w:val="22"/>
              </w:rPr>
              <w:t>/</w:t>
            </w:r>
            <w:r w:rsidR="008242DA">
              <w:rPr>
                <w:szCs w:val="22"/>
              </w:rPr>
              <w:t>other ethnic groups</w:t>
            </w:r>
            <w:sdt>
              <w:sdtPr>
                <w:rPr>
                  <w:color w:val="000000"/>
                  <w:szCs w:val="22"/>
                </w:rPr>
                <w:tag w:val="MENDELEY_CITATION_v3_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"/>
                <w:id w:val="-71818310"/>
                <w:placeholder>
                  <w:docPart w:val="DefaultPlaceholder_-1854013440"/>
                </w:placeholder>
              </w:sdtPr>
              <w:sdtEndPr/>
              <w:sdtContent>
                <w:r w:rsidR="00EB6C41">
                  <w:rPr>
                    <w:color w:val="000000"/>
                    <w:szCs w:val="22"/>
                  </w:rPr>
                  <w:t xml:space="preserve"> </w:t>
                </w:r>
                <w:r w:rsidR="00EB6C41" w:rsidRPr="00EB6C41">
                  <w:rPr>
                    <w:color w:val="000000"/>
                    <w:szCs w:val="22"/>
                  </w:rPr>
                  <w:t>(</w:t>
                </w:r>
                <w:r w:rsidR="004653E9">
                  <w:rPr>
                    <w:color w:val="000000"/>
                    <w:szCs w:val="22"/>
                  </w:rPr>
                  <w:t>Health New Zealand</w:t>
                </w:r>
                <w:r w:rsidR="00EB6C41" w:rsidRPr="00EB6C41">
                  <w:rPr>
                    <w:color w:val="000000"/>
                    <w:szCs w:val="22"/>
                  </w:rPr>
                  <w:t xml:space="preserve"> 2023)</w:t>
                </w:r>
              </w:sdtContent>
            </w:sdt>
            <w:r w:rsidR="008242DA">
              <w:rPr>
                <w:szCs w:val="22"/>
              </w:rPr>
              <w:t>.</w:t>
            </w:r>
            <w:r w:rsidR="00D07B6D">
              <w:rPr>
                <w:szCs w:val="22"/>
              </w:rPr>
              <w:t xml:space="preserve"> </w:t>
            </w:r>
            <w:r w:rsidR="008242DA">
              <w:rPr>
                <w:szCs w:val="22"/>
              </w:rPr>
              <w:t>C</w:t>
            </w:r>
            <w:r w:rsidR="00CC47D9" w:rsidRPr="002B5594">
              <w:rPr>
                <w:szCs w:val="22"/>
              </w:rPr>
              <w:t xml:space="preserve">hildren </w:t>
            </w:r>
            <w:r w:rsidR="008242DA">
              <w:rPr>
                <w:szCs w:val="22"/>
              </w:rPr>
              <w:t xml:space="preserve">and young people </w:t>
            </w:r>
            <w:r w:rsidR="00CC47D9" w:rsidRPr="002B5594">
              <w:rPr>
                <w:szCs w:val="22"/>
              </w:rPr>
              <w:t xml:space="preserve">are increasingly being diagnosed with type 2 diabetes, </w:t>
            </w:r>
            <w:r w:rsidR="00CC47D9">
              <w:rPr>
                <w:szCs w:val="22"/>
              </w:rPr>
              <w:t>in part</w:t>
            </w:r>
            <w:r w:rsidR="00CC47D9" w:rsidRPr="002B5594">
              <w:rPr>
                <w:szCs w:val="22"/>
              </w:rPr>
              <w:t xml:space="preserve"> related to increasing obesity rates</w:t>
            </w:r>
            <w:sdt>
              <w:sdtPr>
                <w:rPr>
                  <w:color w:val="000000"/>
                  <w:szCs w:val="22"/>
                </w:rPr>
                <w:tag w:val="MENDELEY_CITATION_v3_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"/>
                <w:id w:val="-713728685"/>
                <w:placeholder>
                  <w:docPart w:val="DefaultPlaceholder_-1854013440"/>
                </w:placeholder>
              </w:sdtPr>
              <w:sdtEndPr/>
              <w:sdtContent>
                <w:r w:rsidR="00EB6C41">
                  <w:rPr>
                    <w:color w:val="000000"/>
                    <w:szCs w:val="22"/>
                  </w:rPr>
                  <w:t xml:space="preserve"> </w:t>
                </w:r>
                <w:r w:rsidR="00EB6C41" w:rsidRPr="00EB6C41">
                  <w:rPr>
                    <w:color w:val="000000"/>
                    <w:szCs w:val="22"/>
                  </w:rPr>
                  <w:t>(</w:t>
                </w:r>
                <w:proofErr w:type="spellStart"/>
                <w:r w:rsidR="00EB6C41" w:rsidRPr="00EB6C41">
                  <w:rPr>
                    <w:color w:val="000000"/>
                    <w:szCs w:val="22"/>
                  </w:rPr>
                  <w:t>Sjardin</w:t>
                </w:r>
                <w:proofErr w:type="spellEnd"/>
                <w:r w:rsidR="00EB6C41" w:rsidRPr="00EB6C41">
                  <w:rPr>
                    <w:color w:val="000000"/>
                    <w:szCs w:val="22"/>
                  </w:rPr>
                  <w:t xml:space="preserve"> et al 2018)</w:t>
                </w:r>
              </w:sdtContent>
            </w:sdt>
            <w:r w:rsidR="00CC47D9" w:rsidRPr="002B5594">
              <w:rPr>
                <w:szCs w:val="22"/>
              </w:rPr>
              <w:t>.</w:t>
            </w:r>
          </w:p>
          <w:p w14:paraId="39729BA6" w14:textId="71A43894" w:rsidR="00CC47D9" w:rsidRDefault="00831F80" w:rsidP="00564994">
            <w:pPr>
              <w:pStyle w:val="Header"/>
              <w:spacing w:before="60"/>
              <w:rPr>
                <w:rFonts w:cs="Arial"/>
                <w:color w:val="000000"/>
                <w:szCs w:val="22"/>
              </w:rPr>
            </w:pPr>
            <w:r w:rsidRPr="00831F80">
              <w:rPr>
                <w:rFonts w:cs="Arial"/>
                <w:color w:val="000000"/>
                <w:szCs w:val="22"/>
              </w:rPr>
              <w:t xml:space="preserve">Understanding variation in </w:t>
            </w:r>
            <w:r w:rsidR="001D76D1">
              <w:rPr>
                <w:rFonts w:cs="Arial"/>
                <w:color w:val="000000"/>
                <w:szCs w:val="22"/>
              </w:rPr>
              <w:t xml:space="preserve">the </w:t>
            </w:r>
            <w:r w:rsidRPr="00831F80">
              <w:rPr>
                <w:rFonts w:cs="Arial"/>
                <w:color w:val="000000"/>
                <w:szCs w:val="22"/>
              </w:rPr>
              <w:t xml:space="preserve">prevalence </w:t>
            </w:r>
            <w:r>
              <w:rPr>
                <w:rFonts w:cs="Arial"/>
                <w:color w:val="000000"/>
                <w:szCs w:val="22"/>
              </w:rPr>
              <w:t xml:space="preserve">of diabetes </w:t>
            </w:r>
            <w:r w:rsidRPr="00831F80">
              <w:rPr>
                <w:rFonts w:cs="Arial"/>
                <w:color w:val="000000"/>
                <w:szCs w:val="22"/>
              </w:rPr>
              <w:t xml:space="preserve">is crucial for long-term </w:t>
            </w:r>
            <w:r w:rsidR="003771E4">
              <w:rPr>
                <w:rFonts w:cs="Arial"/>
                <w:color w:val="000000"/>
                <w:szCs w:val="22"/>
              </w:rPr>
              <w:t>health care</w:t>
            </w:r>
            <w:r w:rsidRPr="00831F80">
              <w:rPr>
                <w:rFonts w:cs="Arial"/>
                <w:color w:val="000000"/>
                <w:szCs w:val="22"/>
              </w:rPr>
              <w:t xml:space="preserve"> planning. It helps</w:t>
            </w:r>
            <w:r w:rsidR="00AA0ED6">
              <w:rPr>
                <w:rFonts w:cs="Arial"/>
                <w:color w:val="000000"/>
                <w:szCs w:val="22"/>
              </w:rPr>
              <w:t xml:space="preserve"> to</w:t>
            </w:r>
            <w:r w:rsidRPr="00831F80">
              <w:rPr>
                <w:rFonts w:cs="Arial"/>
                <w:color w:val="000000"/>
                <w:szCs w:val="22"/>
              </w:rPr>
              <w:t xml:space="preserve"> predict future </w:t>
            </w:r>
            <w:r w:rsidR="003771E4">
              <w:rPr>
                <w:rFonts w:cs="Arial"/>
                <w:color w:val="000000"/>
                <w:szCs w:val="22"/>
              </w:rPr>
              <w:t>health care</w:t>
            </w:r>
            <w:r w:rsidRPr="00831F80">
              <w:rPr>
                <w:rFonts w:cs="Arial"/>
                <w:color w:val="000000"/>
                <w:szCs w:val="22"/>
              </w:rPr>
              <w:t xml:space="preserve"> needs and allows </w:t>
            </w:r>
            <w:r w:rsidRPr="00831F80">
              <w:rPr>
                <w:rFonts w:cs="Arial"/>
                <w:color w:val="000000"/>
                <w:szCs w:val="22"/>
              </w:rPr>
              <w:lastRenderedPageBreak/>
              <w:t>for the development of sustainable strategies to manage and prevent diabetes</w:t>
            </w:r>
            <w:r w:rsidR="00461CA0">
              <w:rPr>
                <w:rFonts w:cs="Arial"/>
                <w:color w:val="000000"/>
                <w:szCs w:val="22"/>
              </w:rPr>
              <w:t xml:space="preserve">. </w:t>
            </w:r>
          </w:p>
          <w:p w14:paraId="575C7F25" w14:textId="4CFDA1F7" w:rsidR="00812E9B" w:rsidRDefault="001A54D6" w:rsidP="00564994">
            <w:pPr>
              <w:pStyle w:val="Header"/>
              <w:spacing w:before="60"/>
              <w:rPr>
                <w:rFonts w:cs="Arial"/>
                <w:color w:val="000000"/>
                <w:szCs w:val="22"/>
              </w:rPr>
            </w:pPr>
            <w:r w:rsidRPr="001A54D6">
              <w:rPr>
                <w:rFonts w:cs="Arial"/>
                <w:color w:val="000000"/>
                <w:szCs w:val="22"/>
              </w:rPr>
              <w:t xml:space="preserve">Diabetes is associated with substantial </w:t>
            </w:r>
            <w:r w:rsidR="003771E4">
              <w:rPr>
                <w:rFonts w:cs="Arial"/>
                <w:color w:val="000000"/>
                <w:szCs w:val="22"/>
              </w:rPr>
              <w:t>health care</w:t>
            </w:r>
            <w:r w:rsidRPr="001A54D6">
              <w:rPr>
                <w:rFonts w:cs="Arial"/>
                <w:color w:val="000000"/>
                <w:szCs w:val="22"/>
              </w:rPr>
              <w:t xml:space="preserve"> costs, both direct (</w:t>
            </w:r>
            <w:proofErr w:type="spellStart"/>
            <w:r w:rsidR="003771E4">
              <w:rPr>
                <w:rFonts w:cs="Arial"/>
                <w:color w:val="000000"/>
                <w:szCs w:val="22"/>
              </w:rPr>
              <w:t>eg</w:t>
            </w:r>
            <w:proofErr w:type="spellEnd"/>
            <w:r w:rsidRPr="001A54D6">
              <w:rPr>
                <w:rFonts w:cs="Arial"/>
                <w:color w:val="000000"/>
                <w:szCs w:val="22"/>
              </w:rPr>
              <w:t>, medical treatment) and indirect (</w:t>
            </w:r>
            <w:proofErr w:type="spellStart"/>
            <w:r w:rsidR="003771E4">
              <w:rPr>
                <w:rFonts w:cs="Arial"/>
                <w:color w:val="000000"/>
                <w:szCs w:val="22"/>
              </w:rPr>
              <w:t>eg</w:t>
            </w:r>
            <w:proofErr w:type="spellEnd"/>
            <w:r w:rsidRPr="001A54D6">
              <w:rPr>
                <w:rFonts w:cs="Arial"/>
                <w:color w:val="000000"/>
                <w:szCs w:val="22"/>
              </w:rPr>
              <w:t xml:space="preserve">, productivity losses). Understanding variation in prevalence can help estimate the economic burden and plan for </w:t>
            </w:r>
            <w:r w:rsidR="003771E4">
              <w:rPr>
                <w:rFonts w:cs="Arial"/>
                <w:color w:val="000000"/>
                <w:szCs w:val="22"/>
              </w:rPr>
              <w:t>health care</w:t>
            </w:r>
            <w:r w:rsidRPr="001A54D6">
              <w:rPr>
                <w:rFonts w:cs="Arial"/>
                <w:color w:val="000000"/>
                <w:szCs w:val="22"/>
              </w:rPr>
              <w:t xml:space="preserve"> expenditure accordingly.</w:t>
            </w:r>
          </w:p>
          <w:p w14:paraId="50E1FFBF" w14:textId="5C342249" w:rsidR="00F63960" w:rsidRPr="00D42C24" w:rsidRDefault="00F63960" w:rsidP="004653E9">
            <w:r>
              <w:rPr>
                <w:rFonts w:cs="Arial"/>
                <w:color w:val="000000"/>
                <w:szCs w:val="22"/>
              </w:rPr>
              <w:t xml:space="preserve">It should be noted that we used </w:t>
            </w:r>
            <w:r w:rsidRPr="00F06EFB">
              <w:rPr>
                <w:rFonts w:cs="Arial"/>
              </w:rPr>
              <w:t xml:space="preserve">PHO enrolment data as the denominator for the diabetes prevalence indicator, replacing </w:t>
            </w:r>
            <w:r w:rsidR="00F633A9">
              <w:rPr>
                <w:rFonts w:cs="Arial"/>
              </w:rPr>
              <w:t>Stats NZ</w:t>
            </w:r>
            <w:r w:rsidRPr="00F06EFB">
              <w:rPr>
                <w:rFonts w:cs="Arial"/>
              </w:rPr>
              <w:t xml:space="preserve"> estimated population projections. This ensures alignment and consistency with the</w:t>
            </w:r>
            <w:r>
              <w:rPr>
                <w:rFonts w:cs="Arial"/>
              </w:rPr>
              <w:t xml:space="preserve"> Health New Zealand </w:t>
            </w:r>
            <w:r w:rsidRPr="00F06EFB">
              <w:rPr>
                <w:rFonts w:cs="Arial"/>
              </w:rPr>
              <w:t>VDR web tool.</w:t>
            </w:r>
            <w:r>
              <w:rPr>
                <w:rFonts w:cs="Arial"/>
              </w:rPr>
              <w:t xml:space="preserve"> However, we acknowledge that some population groups are more likely to be unenrolled compared to others. For more information on access to primary care by demographics, please see </w:t>
            </w:r>
            <w:hyperlink r:id="rId15" w:history="1">
              <w:r w:rsidR="00F35B40" w:rsidRPr="00EA74F9">
                <w:rPr>
                  <w:rStyle w:val="Hyperlink"/>
                  <w:rFonts w:cs="Arial"/>
                </w:rPr>
                <w:t>www.tewhatuora.govt.nz/for-health-providers/primary-care-sector/primary-health-organisations/enrolment-with-a-general-practice-and-primary-health-organisation</w:t>
              </w:r>
            </w:hyperlink>
            <w:r w:rsidR="00F35B40">
              <w:rPr>
                <w:rFonts w:cs="Arial"/>
              </w:rPr>
              <w:t xml:space="preserve">. </w:t>
            </w:r>
          </w:p>
        </w:tc>
      </w:tr>
      <w:tr w:rsidR="00E22785" w:rsidRPr="00D42C24" w14:paraId="63B804B1" w14:textId="77777777" w:rsidTr="008A3436">
        <w:trPr>
          <w:trHeight w:val="327"/>
        </w:trPr>
        <w:tc>
          <w:tcPr>
            <w:tcW w:w="1668" w:type="dxa"/>
            <w:shd w:val="clear" w:color="auto" w:fill="auto"/>
          </w:tcPr>
          <w:p w14:paraId="1526762E" w14:textId="7DE01D4B" w:rsidR="00E22785" w:rsidRDefault="00E22785" w:rsidP="00564994">
            <w:pPr>
              <w:pStyle w:val="Header"/>
              <w:spacing w:before="60"/>
              <w:rPr>
                <w:rFonts w:cs="Arial"/>
                <w:szCs w:val="22"/>
              </w:rPr>
            </w:pPr>
            <w:r>
              <w:rPr>
                <w:rFonts w:cs="Arial"/>
                <w:szCs w:val="22"/>
              </w:rPr>
              <w:lastRenderedPageBreak/>
              <w:t>Commentary</w:t>
            </w:r>
          </w:p>
        </w:tc>
        <w:tc>
          <w:tcPr>
            <w:tcW w:w="7654" w:type="dxa"/>
            <w:shd w:val="clear" w:color="auto" w:fill="auto"/>
            <w:vAlign w:val="bottom"/>
          </w:tcPr>
          <w:p w14:paraId="40171C35" w14:textId="27543412" w:rsidR="00F02CC7" w:rsidRDefault="00F02CC7" w:rsidP="00E22785">
            <w:pPr>
              <w:pStyle w:val="Header"/>
              <w:spacing w:before="60"/>
              <w:rPr>
                <w:rFonts w:cs="Arial"/>
                <w:color w:val="000000"/>
                <w:szCs w:val="22"/>
              </w:rPr>
            </w:pPr>
            <w:r>
              <w:rPr>
                <w:rFonts w:cs="Arial"/>
                <w:color w:val="000000"/>
                <w:szCs w:val="22"/>
              </w:rPr>
              <w:t>Description:</w:t>
            </w:r>
          </w:p>
          <w:p w14:paraId="13AE6612" w14:textId="57144361" w:rsidR="00F02CC7" w:rsidRDefault="00F02CC7" w:rsidP="00E22785">
            <w:pPr>
              <w:pStyle w:val="Header"/>
              <w:spacing w:before="60"/>
              <w:rPr>
                <w:rFonts w:cs="Arial"/>
              </w:rPr>
            </w:pPr>
            <w:r>
              <w:t xml:space="preserve">This indicator shows the number and percent of </w:t>
            </w:r>
            <w:r w:rsidR="004979CB">
              <w:t>the</w:t>
            </w:r>
            <w:r w:rsidR="00FC6048">
              <w:t xml:space="preserve"> PHO enrolled </w:t>
            </w:r>
            <w:r>
              <w:t xml:space="preserve">New Zealand </w:t>
            </w:r>
            <w:r w:rsidR="004979CB">
              <w:t>population</w:t>
            </w:r>
            <w:r w:rsidR="00FC6048">
              <w:t xml:space="preserve"> </w:t>
            </w:r>
            <w:r w:rsidR="004979CB">
              <w:t>recorded</w:t>
            </w:r>
            <w:r>
              <w:t xml:space="preserve"> as having diabetes in the </w:t>
            </w:r>
            <w:r w:rsidR="00EC52FB">
              <w:rPr>
                <w:rFonts w:cs="Arial"/>
              </w:rPr>
              <w:t>VDR</w:t>
            </w:r>
            <w:r w:rsidR="00BF66E4">
              <w:rPr>
                <w:rFonts w:cs="Arial"/>
              </w:rPr>
              <w:t>.</w:t>
            </w:r>
          </w:p>
          <w:p w14:paraId="1ABC1EB0" w14:textId="033C6C65" w:rsidR="00E22785" w:rsidRDefault="00E22785" w:rsidP="00A1475A">
            <w:pPr>
              <w:pStyle w:val="Header"/>
              <w:spacing w:before="240"/>
              <w:rPr>
                <w:rFonts w:cs="Arial"/>
                <w:color w:val="000000"/>
                <w:szCs w:val="22"/>
              </w:rPr>
            </w:pPr>
            <w:r>
              <w:rPr>
                <w:rFonts w:cs="Arial"/>
                <w:color w:val="000000"/>
                <w:szCs w:val="22"/>
              </w:rPr>
              <w:t>Notes:</w:t>
            </w:r>
          </w:p>
          <w:p w14:paraId="2D94057A" w14:textId="03CBBE53" w:rsidR="00A4331D" w:rsidRPr="00A4331D" w:rsidRDefault="00A4331D" w:rsidP="00514EA6">
            <w:pPr>
              <w:pStyle w:val="Header"/>
              <w:numPr>
                <w:ilvl w:val="0"/>
                <w:numId w:val="4"/>
              </w:numPr>
              <w:spacing w:before="60"/>
              <w:rPr>
                <w:rFonts w:cs="Arial"/>
                <w:color w:val="000000"/>
                <w:szCs w:val="22"/>
              </w:rPr>
            </w:pPr>
            <w:r>
              <w:t xml:space="preserve">Individuals not enrolled with a PHO as </w:t>
            </w:r>
            <w:proofErr w:type="gramStart"/>
            <w:r>
              <w:t>at</w:t>
            </w:r>
            <w:proofErr w:type="gramEnd"/>
            <w:r>
              <w:t xml:space="preserve"> 31 December of the VDR year have been excluded from the numerator for that year</w:t>
            </w:r>
            <w:r>
              <w:rPr>
                <w:rFonts w:cs="Arial"/>
                <w:color w:val="000000"/>
                <w:szCs w:val="22"/>
              </w:rPr>
              <w:t>.</w:t>
            </w:r>
          </w:p>
          <w:p w14:paraId="2354B8A4" w14:textId="724B63C0" w:rsidR="00E22785" w:rsidRDefault="00E22785" w:rsidP="00514EA6">
            <w:pPr>
              <w:pStyle w:val="Header"/>
              <w:numPr>
                <w:ilvl w:val="0"/>
                <w:numId w:val="4"/>
              </w:numPr>
              <w:spacing w:before="60"/>
              <w:rPr>
                <w:rFonts w:cs="Arial"/>
                <w:color w:val="000000"/>
                <w:szCs w:val="22"/>
              </w:rPr>
            </w:pPr>
            <w:r>
              <w:rPr>
                <w:rFonts w:cs="Arial"/>
                <w:color w:val="000000"/>
                <w:szCs w:val="22"/>
              </w:rPr>
              <w:t>It was not possible from the national data</w:t>
            </w:r>
            <w:r w:rsidR="00EC52FB">
              <w:rPr>
                <w:rFonts w:cs="Arial"/>
                <w:color w:val="000000"/>
                <w:szCs w:val="22"/>
              </w:rPr>
              <w:t xml:space="preserve"> </w:t>
            </w:r>
            <w:r>
              <w:rPr>
                <w:rFonts w:cs="Arial"/>
                <w:color w:val="000000"/>
                <w:szCs w:val="22"/>
              </w:rPr>
              <w:t>sets to infer the type of diabetes, so all data presented is a combination of those with type 1 and type 2 diabetes.</w:t>
            </w:r>
          </w:p>
          <w:p w14:paraId="043C1E4F" w14:textId="77777777" w:rsidR="00E22785" w:rsidRDefault="00E22785" w:rsidP="00514EA6">
            <w:pPr>
              <w:pStyle w:val="Header"/>
              <w:numPr>
                <w:ilvl w:val="0"/>
                <w:numId w:val="4"/>
              </w:numPr>
              <w:spacing w:before="60"/>
              <w:rPr>
                <w:rFonts w:cs="Arial"/>
                <w:color w:val="000000"/>
                <w:szCs w:val="22"/>
              </w:rPr>
            </w:pPr>
            <w:r>
              <w:rPr>
                <w:rFonts w:cs="Arial"/>
                <w:color w:val="000000"/>
                <w:szCs w:val="22"/>
              </w:rPr>
              <w:t>Women diagnosed with gestational diabetes are not included.</w:t>
            </w:r>
          </w:p>
          <w:p w14:paraId="2EA821F6" w14:textId="77777777" w:rsidR="00E22785" w:rsidRDefault="00E22785" w:rsidP="00A1475A">
            <w:pPr>
              <w:pStyle w:val="Header"/>
              <w:spacing w:before="240"/>
              <w:rPr>
                <w:rFonts w:cs="Arial"/>
                <w:color w:val="000000"/>
                <w:szCs w:val="22"/>
              </w:rPr>
            </w:pPr>
            <w:r>
              <w:rPr>
                <w:rFonts w:cs="Arial"/>
                <w:color w:val="000000"/>
                <w:szCs w:val="22"/>
              </w:rPr>
              <w:t>Why is this indicator important?</w:t>
            </w:r>
          </w:p>
          <w:p w14:paraId="3C5FE170" w14:textId="40218E03" w:rsidR="00E22785" w:rsidRDefault="00E22785" w:rsidP="00E22785">
            <w:pPr>
              <w:pStyle w:val="Header"/>
              <w:spacing w:before="60"/>
              <w:rPr>
                <w:rFonts w:cs="Arial"/>
                <w:color w:val="000000"/>
                <w:szCs w:val="22"/>
              </w:rPr>
            </w:pPr>
            <w:r>
              <w:rPr>
                <w:rFonts w:cs="Arial"/>
                <w:color w:val="000000"/>
                <w:szCs w:val="22"/>
              </w:rPr>
              <w:t xml:space="preserve">This indicator shows variation in </w:t>
            </w:r>
            <w:r w:rsidR="005E5DF4">
              <w:rPr>
                <w:rFonts w:cs="Arial"/>
                <w:color w:val="000000"/>
                <w:szCs w:val="22"/>
              </w:rPr>
              <w:t xml:space="preserve">the </w:t>
            </w:r>
            <w:r>
              <w:rPr>
                <w:rFonts w:cs="Arial"/>
                <w:color w:val="000000"/>
                <w:szCs w:val="22"/>
              </w:rPr>
              <w:t xml:space="preserve">prevalence of diabetes by age, gender, ethnic </w:t>
            </w:r>
            <w:proofErr w:type="gramStart"/>
            <w:r>
              <w:rPr>
                <w:rFonts w:cs="Arial"/>
                <w:color w:val="000000"/>
                <w:szCs w:val="22"/>
              </w:rPr>
              <w:t>grouping</w:t>
            </w:r>
            <w:proofErr w:type="gramEnd"/>
            <w:r>
              <w:rPr>
                <w:rFonts w:cs="Arial"/>
                <w:color w:val="000000"/>
                <w:szCs w:val="22"/>
              </w:rPr>
              <w:t xml:space="preserve"> and </w:t>
            </w:r>
            <w:r w:rsidR="001741EB">
              <w:rPr>
                <w:rFonts w:cs="Arial"/>
                <w:color w:val="000000"/>
                <w:szCs w:val="22"/>
              </w:rPr>
              <w:t>Health New Zealand</w:t>
            </w:r>
            <w:r w:rsidR="00406DDF">
              <w:rPr>
                <w:rFonts w:cs="Arial"/>
                <w:color w:val="000000"/>
                <w:szCs w:val="22"/>
              </w:rPr>
              <w:t xml:space="preserve"> district</w:t>
            </w:r>
            <w:r>
              <w:rPr>
                <w:rFonts w:cs="Arial"/>
                <w:color w:val="000000"/>
                <w:szCs w:val="22"/>
              </w:rPr>
              <w:t>. This data is essential for tracking progress in diabetes prevention and management.</w:t>
            </w:r>
            <w:r w:rsidR="00BF66E4">
              <w:rPr>
                <w:rFonts w:cs="Arial"/>
                <w:color w:val="000000"/>
                <w:szCs w:val="22"/>
              </w:rPr>
              <w:t xml:space="preserve"> </w:t>
            </w:r>
          </w:p>
          <w:p w14:paraId="6A640612" w14:textId="77777777" w:rsidR="00E22785" w:rsidRDefault="00E22785" w:rsidP="00A1475A">
            <w:pPr>
              <w:pStyle w:val="Header"/>
              <w:spacing w:before="240"/>
              <w:rPr>
                <w:rFonts w:cs="Arial"/>
                <w:color w:val="000000"/>
                <w:szCs w:val="22"/>
              </w:rPr>
            </w:pPr>
            <w:r>
              <w:rPr>
                <w:rFonts w:cs="Arial"/>
                <w:color w:val="000000"/>
                <w:szCs w:val="22"/>
              </w:rPr>
              <w:t>What questions does this prompt?</w:t>
            </w:r>
          </w:p>
          <w:p w14:paraId="5E534371" w14:textId="77777777" w:rsidR="00E22785" w:rsidRDefault="00E22785" w:rsidP="00514EA6">
            <w:pPr>
              <w:pStyle w:val="Header"/>
              <w:numPr>
                <w:ilvl w:val="0"/>
                <w:numId w:val="4"/>
              </w:numPr>
              <w:spacing w:before="60"/>
              <w:rPr>
                <w:rFonts w:cs="Arial"/>
                <w:color w:val="000000"/>
                <w:szCs w:val="22"/>
              </w:rPr>
            </w:pPr>
            <w:r>
              <w:rPr>
                <w:rFonts w:cs="Arial"/>
                <w:color w:val="000000"/>
                <w:szCs w:val="22"/>
              </w:rPr>
              <w:t>To what degree does ethnic composition explain prevalence?</w:t>
            </w:r>
          </w:p>
          <w:p w14:paraId="3B4F395E" w14:textId="3815C5BD" w:rsidR="00E22785" w:rsidRDefault="00E22785" w:rsidP="00514EA6">
            <w:pPr>
              <w:pStyle w:val="Header"/>
              <w:numPr>
                <w:ilvl w:val="0"/>
                <w:numId w:val="4"/>
              </w:numPr>
              <w:spacing w:before="60"/>
              <w:rPr>
                <w:rFonts w:cs="Arial"/>
                <w:color w:val="000000"/>
                <w:szCs w:val="22"/>
              </w:rPr>
            </w:pPr>
            <w:r>
              <w:rPr>
                <w:rFonts w:cs="Arial"/>
                <w:color w:val="000000"/>
                <w:szCs w:val="22"/>
              </w:rPr>
              <w:t xml:space="preserve">How do </w:t>
            </w:r>
            <w:r w:rsidR="00406DDF">
              <w:rPr>
                <w:rFonts w:cs="Arial"/>
                <w:color w:val="000000"/>
                <w:szCs w:val="22"/>
              </w:rPr>
              <w:t>district</w:t>
            </w:r>
            <w:r>
              <w:rPr>
                <w:rFonts w:cs="Arial"/>
                <w:color w:val="000000"/>
                <w:szCs w:val="22"/>
              </w:rPr>
              <w:t>s with similar population</w:t>
            </w:r>
            <w:r w:rsidR="00220624">
              <w:rPr>
                <w:rFonts w:cs="Arial"/>
                <w:color w:val="000000"/>
                <w:szCs w:val="22"/>
              </w:rPr>
              <w:t>s</w:t>
            </w:r>
            <w:r>
              <w:rPr>
                <w:rFonts w:cs="Arial"/>
                <w:color w:val="000000"/>
                <w:szCs w:val="22"/>
              </w:rPr>
              <w:t xml:space="preserve"> compare?</w:t>
            </w:r>
          </w:p>
          <w:p w14:paraId="69589387" w14:textId="77777777" w:rsidR="00E22785" w:rsidRDefault="00E22785" w:rsidP="00514EA6">
            <w:pPr>
              <w:pStyle w:val="Header"/>
              <w:numPr>
                <w:ilvl w:val="0"/>
                <w:numId w:val="4"/>
              </w:numPr>
              <w:spacing w:before="60"/>
              <w:rPr>
                <w:rFonts w:cs="Arial"/>
                <w:color w:val="000000"/>
                <w:szCs w:val="22"/>
              </w:rPr>
            </w:pPr>
            <w:r>
              <w:rPr>
                <w:rFonts w:cs="Arial"/>
                <w:color w:val="000000"/>
                <w:szCs w:val="22"/>
              </w:rPr>
              <w:t>How does prevalence in each age group track along the mean?</w:t>
            </w:r>
          </w:p>
          <w:p w14:paraId="7F9073D1" w14:textId="108F205B" w:rsidR="00BF66E4" w:rsidRPr="001566A0" w:rsidRDefault="00E22785" w:rsidP="00514EA6">
            <w:pPr>
              <w:pStyle w:val="Header"/>
              <w:numPr>
                <w:ilvl w:val="0"/>
                <w:numId w:val="4"/>
              </w:numPr>
              <w:spacing w:before="60"/>
              <w:rPr>
                <w:rFonts w:cs="Arial"/>
                <w:color w:val="000000"/>
                <w:szCs w:val="22"/>
              </w:rPr>
            </w:pPr>
            <w:r>
              <w:rPr>
                <w:rFonts w:cs="Arial"/>
                <w:color w:val="000000"/>
                <w:szCs w:val="22"/>
              </w:rPr>
              <w:t>How much can be explained by prominent type of diabetes?</w:t>
            </w:r>
          </w:p>
        </w:tc>
      </w:tr>
    </w:tbl>
    <w:p w14:paraId="1FF0F262" w14:textId="77777777" w:rsidR="0000087A" w:rsidRDefault="0000087A" w:rsidP="0000087A">
      <w:pPr>
        <w:rPr>
          <w:rFonts w:cs="Arial"/>
          <w:szCs w:val="22"/>
        </w:rPr>
      </w:pPr>
    </w:p>
    <w:tbl>
      <w:tblPr>
        <w:tblW w:w="932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A0" w:firstRow="1" w:lastRow="0" w:firstColumn="1" w:lastColumn="0" w:noHBand="0" w:noVBand="0"/>
      </w:tblPr>
      <w:tblGrid>
        <w:gridCol w:w="1668"/>
        <w:gridCol w:w="7654"/>
      </w:tblGrid>
      <w:tr w:rsidR="00FC6048" w:rsidRPr="00D42C24" w14:paraId="25FF79E5" w14:textId="77777777" w:rsidTr="008A3436">
        <w:trPr>
          <w:trHeight w:val="327"/>
        </w:trPr>
        <w:tc>
          <w:tcPr>
            <w:tcW w:w="1668" w:type="dxa"/>
            <w:shd w:val="clear" w:color="auto" w:fill="auto"/>
          </w:tcPr>
          <w:p w14:paraId="354CB10D" w14:textId="145A0C98" w:rsidR="00FC6048" w:rsidRPr="00D42C24" w:rsidRDefault="00FC6048" w:rsidP="00773C1D">
            <w:pPr>
              <w:pStyle w:val="Header"/>
              <w:spacing w:before="60"/>
              <w:rPr>
                <w:rFonts w:cs="Arial"/>
                <w:b/>
                <w:color w:val="808080"/>
                <w:szCs w:val="22"/>
              </w:rPr>
            </w:pPr>
            <w:r w:rsidRPr="00D42C24">
              <w:rPr>
                <w:rFonts w:cs="Arial"/>
                <w:szCs w:val="22"/>
              </w:rPr>
              <w:br w:type="page"/>
            </w:r>
            <w:r w:rsidRPr="00D42C24">
              <w:rPr>
                <w:rFonts w:cs="Arial"/>
                <w:b/>
                <w:szCs w:val="22"/>
              </w:rPr>
              <w:t>Indicator #2:</w:t>
            </w:r>
          </w:p>
        </w:tc>
        <w:tc>
          <w:tcPr>
            <w:tcW w:w="7654" w:type="dxa"/>
            <w:shd w:val="clear" w:color="auto" w:fill="auto"/>
            <w:vAlign w:val="bottom"/>
          </w:tcPr>
          <w:p w14:paraId="5A3107A7" w14:textId="77777777" w:rsidR="00FC6048" w:rsidRPr="00D42C24" w:rsidRDefault="00FC6048" w:rsidP="00773C1D">
            <w:pPr>
              <w:pStyle w:val="Header"/>
              <w:spacing w:before="60"/>
              <w:rPr>
                <w:rFonts w:cs="Arial"/>
                <w:b/>
                <w:color w:val="000000"/>
                <w:szCs w:val="22"/>
              </w:rPr>
            </w:pPr>
            <w:r>
              <w:t>People with diabetes regularly</w:t>
            </w:r>
            <w:r>
              <w:rPr>
                <w:rStyle w:val="FootnoteReference"/>
              </w:rPr>
              <w:footnoteReference w:id="2"/>
            </w:r>
            <w:r>
              <w:t xml:space="preserve"> receiving metformin in the relevant year</w:t>
            </w:r>
          </w:p>
        </w:tc>
      </w:tr>
      <w:tr w:rsidR="00FC6048" w:rsidRPr="00D42C24" w14:paraId="4D8A0C12" w14:textId="77777777" w:rsidTr="008A3436">
        <w:trPr>
          <w:trHeight w:val="327"/>
        </w:trPr>
        <w:tc>
          <w:tcPr>
            <w:tcW w:w="1668" w:type="dxa"/>
            <w:shd w:val="clear" w:color="auto" w:fill="auto"/>
          </w:tcPr>
          <w:p w14:paraId="54F41311" w14:textId="77777777" w:rsidR="00FC6048" w:rsidRPr="00D42C24" w:rsidRDefault="00FC6048" w:rsidP="00773C1D">
            <w:pPr>
              <w:pStyle w:val="Header"/>
              <w:spacing w:before="60"/>
              <w:rPr>
                <w:rFonts w:cs="Arial"/>
                <w:szCs w:val="22"/>
              </w:rPr>
            </w:pPr>
            <w:r w:rsidRPr="00D42C24">
              <w:rPr>
                <w:rFonts w:cs="Arial"/>
                <w:szCs w:val="22"/>
              </w:rPr>
              <w:t>Numerator</w:t>
            </w:r>
          </w:p>
        </w:tc>
        <w:tc>
          <w:tcPr>
            <w:tcW w:w="7654" w:type="dxa"/>
            <w:shd w:val="clear" w:color="auto" w:fill="auto"/>
            <w:vAlign w:val="bottom"/>
          </w:tcPr>
          <w:p w14:paraId="328C5AF4" w14:textId="77777777" w:rsidR="00FC6048" w:rsidRPr="00D42C24" w:rsidRDefault="00FC6048" w:rsidP="00773C1D">
            <w:pPr>
              <w:pStyle w:val="Header"/>
              <w:spacing w:before="60"/>
              <w:rPr>
                <w:rFonts w:cs="Arial"/>
                <w:color w:val="000000"/>
                <w:szCs w:val="22"/>
              </w:rPr>
            </w:pPr>
            <w:r>
              <w:t>People with diabetes dispensed metformin in three or four quarters in the relevant year</w:t>
            </w:r>
          </w:p>
        </w:tc>
      </w:tr>
      <w:tr w:rsidR="00FC6048" w:rsidRPr="00D42C24" w14:paraId="2B384599" w14:textId="77777777" w:rsidTr="008A3436">
        <w:trPr>
          <w:trHeight w:val="327"/>
        </w:trPr>
        <w:tc>
          <w:tcPr>
            <w:tcW w:w="1668" w:type="dxa"/>
            <w:shd w:val="clear" w:color="auto" w:fill="auto"/>
          </w:tcPr>
          <w:p w14:paraId="43FDE8AE" w14:textId="77777777" w:rsidR="00FC6048" w:rsidRPr="00D42C24" w:rsidRDefault="00FC6048" w:rsidP="00773C1D">
            <w:pPr>
              <w:pStyle w:val="Header"/>
              <w:spacing w:before="60"/>
              <w:rPr>
                <w:rFonts w:cs="Arial"/>
                <w:szCs w:val="22"/>
              </w:rPr>
            </w:pPr>
            <w:r w:rsidRPr="00D42C24">
              <w:rPr>
                <w:rFonts w:cs="Arial"/>
                <w:szCs w:val="22"/>
              </w:rPr>
              <w:t>Denominator</w:t>
            </w:r>
          </w:p>
        </w:tc>
        <w:tc>
          <w:tcPr>
            <w:tcW w:w="7654" w:type="dxa"/>
            <w:shd w:val="clear" w:color="auto" w:fill="auto"/>
            <w:vAlign w:val="bottom"/>
          </w:tcPr>
          <w:p w14:paraId="7ED42264" w14:textId="77777777" w:rsidR="00FC6048" w:rsidRPr="00D42C24" w:rsidRDefault="00FC6048" w:rsidP="00773C1D">
            <w:pPr>
              <w:pStyle w:val="Header"/>
              <w:spacing w:before="60"/>
              <w:rPr>
                <w:rFonts w:cs="Arial"/>
                <w:color w:val="000000"/>
                <w:szCs w:val="22"/>
              </w:rPr>
            </w:pPr>
            <w:r>
              <w:rPr>
                <w:rFonts w:cs="Arial"/>
                <w:szCs w:val="22"/>
              </w:rPr>
              <w:t>Count of distinct master NHIs</w:t>
            </w:r>
            <w:r w:rsidDel="00114E54">
              <w:t xml:space="preserve"> </w:t>
            </w:r>
            <w:r>
              <w:t xml:space="preserve">identified as having diabetes as per the VDR </w:t>
            </w:r>
          </w:p>
        </w:tc>
      </w:tr>
      <w:tr w:rsidR="001741EB" w:rsidRPr="00D42C24" w14:paraId="1271DA8B" w14:textId="77777777" w:rsidTr="008A3436">
        <w:trPr>
          <w:trHeight w:val="327"/>
        </w:trPr>
        <w:tc>
          <w:tcPr>
            <w:tcW w:w="1668" w:type="dxa"/>
            <w:shd w:val="clear" w:color="auto" w:fill="auto"/>
          </w:tcPr>
          <w:p w14:paraId="28D2CE62" w14:textId="77777777" w:rsidR="001741EB" w:rsidRPr="00D42C24" w:rsidRDefault="001741EB" w:rsidP="001741EB">
            <w:pPr>
              <w:pStyle w:val="Header"/>
              <w:spacing w:before="60"/>
              <w:rPr>
                <w:rFonts w:cs="Arial"/>
                <w:szCs w:val="22"/>
              </w:rPr>
            </w:pPr>
            <w:r>
              <w:rPr>
                <w:rFonts w:cs="Arial"/>
                <w:szCs w:val="22"/>
              </w:rPr>
              <w:lastRenderedPageBreak/>
              <w:t>By variables</w:t>
            </w:r>
          </w:p>
        </w:tc>
        <w:tc>
          <w:tcPr>
            <w:tcW w:w="7654" w:type="dxa"/>
            <w:shd w:val="clear" w:color="auto" w:fill="auto"/>
            <w:vAlign w:val="bottom"/>
          </w:tcPr>
          <w:p w14:paraId="440FE77F" w14:textId="4E712DF5" w:rsidR="00223369" w:rsidRDefault="00223369" w:rsidP="00223369">
            <w:pPr>
              <w:pStyle w:val="Header"/>
              <w:spacing w:before="60"/>
            </w:pPr>
            <w:r>
              <w:t>For single map analysis: By year (</w:t>
            </w:r>
            <w:r w:rsidR="00481942">
              <w:t>2018‒22</w:t>
            </w:r>
            <w:r>
              <w:t>), age group (</w:t>
            </w:r>
            <w:r w:rsidR="00481942">
              <w:t>0‒14</w:t>
            </w:r>
            <w:r>
              <w:t xml:space="preserve"> years, </w:t>
            </w:r>
            <w:r w:rsidR="00481942">
              <w:t>15‒24</w:t>
            </w:r>
            <w:r>
              <w:t xml:space="preserve"> years, </w:t>
            </w:r>
            <w:r w:rsidR="00481942">
              <w:t>25‒44</w:t>
            </w:r>
            <w:r>
              <w:t xml:space="preserve"> years, </w:t>
            </w:r>
            <w:r w:rsidR="00481942">
              <w:t>45‒64</w:t>
            </w:r>
            <w:r>
              <w:t xml:space="preserve"> years, </w:t>
            </w:r>
            <w:r w:rsidR="00481942">
              <w:t>65‒74</w:t>
            </w:r>
            <w:r>
              <w:t xml:space="preserve"> years and 75+ years), gender (female and male), ethnic group (Māori, Pacific peoples, Indian and </w:t>
            </w:r>
            <w:r w:rsidR="00481942">
              <w:t>European/other</w:t>
            </w:r>
            <w:r>
              <w:t>) and Health New Zealand district of domicile</w:t>
            </w:r>
            <w:r w:rsidR="00A968F8">
              <w:t>.</w:t>
            </w:r>
            <w:r>
              <w:t xml:space="preserve"> </w:t>
            </w:r>
          </w:p>
          <w:p w14:paraId="68E0C852" w14:textId="463AEB56" w:rsidR="001741EB" w:rsidRDefault="00223369" w:rsidP="001741EB">
            <w:pPr>
              <w:pStyle w:val="Header"/>
              <w:spacing w:before="60"/>
            </w:pPr>
            <w:r>
              <w:t>For PHO analysis: By year (2022), age group (</w:t>
            </w:r>
            <w:r w:rsidR="00481942">
              <w:t>0‒14</w:t>
            </w:r>
            <w:r>
              <w:t xml:space="preserve"> years, </w:t>
            </w:r>
            <w:r w:rsidR="00481942">
              <w:t>15‒24</w:t>
            </w:r>
            <w:r>
              <w:t xml:space="preserve"> years, </w:t>
            </w:r>
            <w:r w:rsidR="00481942">
              <w:t>25‒44</w:t>
            </w:r>
            <w:r>
              <w:t xml:space="preserve"> years, </w:t>
            </w:r>
            <w:r w:rsidR="00481942">
              <w:t>45‒64</w:t>
            </w:r>
            <w:r>
              <w:t xml:space="preserve"> years, </w:t>
            </w:r>
            <w:r w:rsidR="00481942">
              <w:t>65‒74</w:t>
            </w:r>
            <w:r>
              <w:t xml:space="preserve"> years and 75+ years), gender (female and male), ethnic group (Māori, Pacific peoples, Indian and </w:t>
            </w:r>
            <w:r w:rsidR="00481942">
              <w:t>European/other</w:t>
            </w:r>
            <w:r>
              <w:t xml:space="preserve">), PHO most recently enrolled with (for the relevant year), PHO group (small, medium, </w:t>
            </w:r>
            <w:r w:rsidR="007E5C3B">
              <w:t>medium‒large</w:t>
            </w:r>
            <w:r>
              <w:t xml:space="preserve"> and large).</w:t>
            </w:r>
          </w:p>
        </w:tc>
      </w:tr>
      <w:tr w:rsidR="001741EB" w:rsidRPr="00D42C24" w14:paraId="122BB771" w14:textId="77777777" w:rsidTr="008A3436">
        <w:trPr>
          <w:trHeight w:val="327"/>
        </w:trPr>
        <w:tc>
          <w:tcPr>
            <w:tcW w:w="1668" w:type="dxa"/>
            <w:shd w:val="clear" w:color="auto" w:fill="auto"/>
          </w:tcPr>
          <w:p w14:paraId="34D9B76D" w14:textId="76CF57E8" w:rsidR="001741EB" w:rsidRPr="00D42C24" w:rsidRDefault="001741EB" w:rsidP="001741EB">
            <w:pPr>
              <w:pStyle w:val="Header"/>
              <w:spacing w:before="60"/>
              <w:rPr>
                <w:rFonts w:cs="Arial"/>
                <w:szCs w:val="22"/>
              </w:rPr>
            </w:pPr>
            <w:r>
              <w:rPr>
                <w:rFonts w:cs="Arial"/>
                <w:szCs w:val="22"/>
              </w:rPr>
              <w:t>Data source</w:t>
            </w:r>
          </w:p>
        </w:tc>
        <w:tc>
          <w:tcPr>
            <w:tcW w:w="7654" w:type="dxa"/>
            <w:shd w:val="clear" w:color="auto" w:fill="auto"/>
            <w:vAlign w:val="bottom"/>
          </w:tcPr>
          <w:p w14:paraId="1F5E9B87" w14:textId="66346970" w:rsidR="001741EB" w:rsidRDefault="001741EB" w:rsidP="001741EB">
            <w:pPr>
              <w:spacing w:before="60"/>
            </w:pPr>
            <w:r>
              <w:t>Pharmaceutical Collection, Health New Zealand</w:t>
            </w:r>
          </w:p>
          <w:p w14:paraId="7BD0BE91" w14:textId="2D24F852" w:rsidR="001741EB" w:rsidRPr="001741EB" w:rsidRDefault="001741EB" w:rsidP="001741EB">
            <w:pPr>
              <w:spacing w:before="60"/>
            </w:pPr>
            <w:r>
              <w:t>VDR</w:t>
            </w:r>
          </w:p>
        </w:tc>
      </w:tr>
      <w:tr w:rsidR="001741EB" w:rsidRPr="00D42C24" w14:paraId="222AC7B5" w14:textId="77777777" w:rsidTr="008A3436">
        <w:trPr>
          <w:trHeight w:val="327"/>
        </w:trPr>
        <w:tc>
          <w:tcPr>
            <w:tcW w:w="1668" w:type="dxa"/>
            <w:shd w:val="clear" w:color="auto" w:fill="auto"/>
          </w:tcPr>
          <w:p w14:paraId="322919C8" w14:textId="77777777" w:rsidR="001741EB" w:rsidRPr="00D42C24" w:rsidRDefault="001741EB" w:rsidP="001741EB">
            <w:pPr>
              <w:pStyle w:val="Header"/>
              <w:spacing w:before="60"/>
              <w:rPr>
                <w:rFonts w:cs="Arial"/>
                <w:szCs w:val="22"/>
              </w:rPr>
            </w:pPr>
            <w:r w:rsidRPr="00564994">
              <w:rPr>
                <w:rFonts w:cs="Arial"/>
                <w:szCs w:val="22"/>
              </w:rPr>
              <w:t>Medicines</w:t>
            </w:r>
          </w:p>
        </w:tc>
        <w:tc>
          <w:tcPr>
            <w:tcW w:w="7654" w:type="dxa"/>
            <w:shd w:val="clear" w:color="auto" w:fill="auto"/>
            <w:vAlign w:val="bottom"/>
          </w:tcPr>
          <w:p w14:paraId="7263AF28" w14:textId="494E86CB" w:rsidR="001741EB" w:rsidRDefault="001741EB" w:rsidP="001741EB">
            <w:pPr>
              <w:spacing w:before="60"/>
              <w:rPr>
                <w:rFonts w:cs="Arial"/>
                <w:color w:val="000000"/>
                <w:szCs w:val="22"/>
              </w:rPr>
            </w:pPr>
            <w:r w:rsidRPr="00564994">
              <w:rPr>
                <w:rFonts w:cs="Arial"/>
                <w:color w:val="000000"/>
                <w:szCs w:val="22"/>
              </w:rPr>
              <w:t>1794</w:t>
            </w:r>
            <w:r>
              <w:rPr>
                <w:rFonts w:cs="Arial"/>
                <w:color w:val="000000"/>
                <w:szCs w:val="22"/>
              </w:rPr>
              <w:t>01 &amp; 179402</w:t>
            </w:r>
            <w:r w:rsidRPr="00564994">
              <w:rPr>
                <w:rFonts w:cs="Arial"/>
                <w:color w:val="000000"/>
                <w:szCs w:val="22"/>
              </w:rPr>
              <w:t xml:space="preserve"> </w:t>
            </w:r>
            <w:r w:rsidR="004527E0">
              <w:rPr>
                <w:rFonts w:cs="Arial"/>
                <w:color w:val="000000"/>
                <w:szCs w:val="22"/>
              </w:rPr>
              <w:t>m</w:t>
            </w:r>
            <w:r w:rsidRPr="00564994">
              <w:rPr>
                <w:rFonts w:cs="Arial"/>
                <w:color w:val="000000"/>
                <w:szCs w:val="22"/>
              </w:rPr>
              <w:t>etformin hydrochloride</w:t>
            </w:r>
          </w:p>
          <w:p w14:paraId="33E1B856" w14:textId="67AE9329" w:rsidR="001741EB" w:rsidRPr="004979CB" w:rsidRDefault="001741EB" w:rsidP="001741EB">
            <w:pPr>
              <w:spacing w:before="60"/>
              <w:rPr>
                <w:rFonts w:cs="Arial"/>
                <w:color w:val="000000"/>
                <w:szCs w:val="22"/>
              </w:rPr>
            </w:pPr>
            <w:r w:rsidRPr="004979CB">
              <w:rPr>
                <w:rFonts w:cs="Arial"/>
                <w:color w:val="000000"/>
                <w:szCs w:val="22"/>
              </w:rPr>
              <w:t xml:space="preserve">410426 </w:t>
            </w:r>
            <w:r w:rsidR="004527E0">
              <w:rPr>
                <w:rFonts w:cs="Arial"/>
                <w:color w:val="000000"/>
                <w:szCs w:val="22"/>
              </w:rPr>
              <w:t>v</w:t>
            </w:r>
            <w:r w:rsidRPr="004979CB">
              <w:rPr>
                <w:rFonts w:cs="Arial"/>
                <w:color w:val="000000"/>
                <w:szCs w:val="22"/>
              </w:rPr>
              <w:t>ildagliptin with metformin hydrochloride</w:t>
            </w:r>
          </w:p>
          <w:p w14:paraId="75699D2C" w14:textId="400A2D88" w:rsidR="001741EB" w:rsidRDefault="001741EB" w:rsidP="001741EB">
            <w:pPr>
              <w:spacing w:before="60"/>
              <w:rPr>
                <w:rFonts w:cs="Arial"/>
                <w:color w:val="000000"/>
                <w:szCs w:val="22"/>
              </w:rPr>
            </w:pPr>
            <w:r w:rsidRPr="004979CB">
              <w:rPr>
                <w:rFonts w:cs="Arial"/>
                <w:color w:val="000000"/>
                <w:szCs w:val="22"/>
              </w:rPr>
              <w:t xml:space="preserve">413825, 413826, 413827 and 413828 </w:t>
            </w:r>
            <w:r w:rsidR="004527E0">
              <w:rPr>
                <w:rFonts w:cs="Arial"/>
                <w:color w:val="000000"/>
                <w:szCs w:val="22"/>
              </w:rPr>
              <w:t>e</w:t>
            </w:r>
            <w:r w:rsidRPr="004979CB">
              <w:rPr>
                <w:rFonts w:cs="Arial"/>
                <w:color w:val="000000"/>
                <w:szCs w:val="22"/>
              </w:rPr>
              <w:t>mpagliflozin with metformin hydrochloride</w:t>
            </w:r>
          </w:p>
          <w:p w14:paraId="6FBF8A55" w14:textId="5E3F05F4" w:rsidR="001741EB" w:rsidRPr="00AE079D" w:rsidRDefault="001741EB" w:rsidP="001741EB">
            <w:pPr>
              <w:spacing w:before="60"/>
              <w:rPr>
                <w:color w:val="000000"/>
              </w:rPr>
            </w:pPr>
            <w:r>
              <w:rPr>
                <w:rFonts w:cs="Arial"/>
                <w:color w:val="000000"/>
                <w:szCs w:val="22"/>
              </w:rPr>
              <w:t xml:space="preserve">Note: </w:t>
            </w:r>
            <w:r>
              <w:rPr>
                <w:color w:val="000000"/>
              </w:rPr>
              <w:t>Metformin is also used to treat polycystic ovary syndrome in women aged 12</w:t>
            </w:r>
            <w:r w:rsidRPr="007E51A4">
              <w:rPr>
                <w:rFonts w:ascii="Calibri" w:hAnsi="Calibri" w:cs="Calibri"/>
                <w:color w:val="000000"/>
                <w:szCs w:val="22"/>
              </w:rPr>
              <w:t>‒</w:t>
            </w:r>
            <w:r>
              <w:rPr>
                <w:color w:val="000000"/>
              </w:rPr>
              <w:t xml:space="preserve">45 years. </w:t>
            </w:r>
            <w:r w:rsidRPr="00AE079D">
              <w:rPr>
                <w:color w:val="000000"/>
              </w:rPr>
              <w:t xml:space="preserve">The VDR attempts to partially address this issue by excluding women aged 12–45 years who are solely identified </w:t>
            </w:r>
            <w:proofErr w:type="gramStart"/>
            <w:r w:rsidRPr="00AE079D">
              <w:rPr>
                <w:color w:val="000000"/>
              </w:rPr>
              <w:t>as a result of</w:t>
            </w:r>
            <w:proofErr w:type="gramEnd"/>
            <w:r w:rsidRPr="00AE079D">
              <w:rPr>
                <w:color w:val="000000"/>
              </w:rPr>
              <w:t xml:space="preserve"> metformin use – that is, no other methods identify them as having diabetes</w:t>
            </w:r>
            <w:r>
              <w:rPr>
                <w:color w:val="000000"/>
              </w:rPr>
              <w:t>.</w:t>
            </w:r>
          </w:p>
        </w:tc>
      </w:tr>
      <w:tr w:rsidR="001741EB" w:rsidRPr="00D42C24" w14:paraId="42DFA9A3" w14:textId="77777777" w:rsidTr="008A3436">
        <w:trPr>
          <w:trHeight w:val="327"/>
        </w:trPr>
        <w:tc>
          <w:tcPr>
            <w:tcW w:w="1668" w:type="dxa"/>
            <w:shd w:val="clear" w:color="auto" w:fill="auto"/>
          </w:tcPr>
          <w:p w14:paraId="5E3C22B9" w14:textId="77777777" w:rsidR="001741EB" w:rsidRPr="00564994" w:rsidRDefault="001741EB" w:rsidP="001741EB">
            <w:pPr>
              <w:pStyle w:val="Header"/>
              <w:spacing w:before="60"/>
              <w:rPr>
                <w:rFonts w:cs="Arial"/>
                <w:szCs w:val="22"/>
              </w:rPr>
            </w:pPr>
            <w:r>
              <w:rPr>
                <w:rFonts w:cs="Arial"/>
                <w:szCs w:val="22"/>
              </w:rPr>
              <w:t>Rationale</w:t>
            </w:r>
          </w:p>
        </w:tc>
        <w:tc>
          <w:tcPr>
            <w:tcW w:w="7654" w:type="dxa"/>
            <w:shd w:val="clear" w:color="auto" w:fill="auto"/>
            <w:vAlign w:val="bottom"/>
          </w:tcPr>
          <w:p w14:paraId="440D0759" w14:textId="2D001806" w:rsidR="001741EB" w:rsidRPr="00564994" w:rsidRDefault="001741EB" w:rsidP="001741EB">
            <w:pPr>
              <w:spacing w:before="60"/>
              <w:rPr>
                <w:rFonts w:cs="Arial"/>
                <w:color w:val="000000"/>
                <w:szCs w:val="22"/>
              </w:rPr>
            </w:pPr>
            <w:r>
              <w:rPr>
                <w:rFonts w:cs="Arial"/>
                <w:color w:val="000000"/>
                <w:szCs w:val="22"/>
              </w:rPr>
              <w:t xml:space="preserve">Analysing variation in metformin usage can </w:t>
            </w:r>
            <w:r w:rsidRPr="00615ACA">
              <w:rPr>
                <w:rFonts w:cs="Arial"/>
                <w:color w:val="000000"/>
                <w:szCs w:val="22"/>
              </w:rPr>
              <w:t xml:space="preserve">offer insights into </w:t>
            </w:r>
            <w:r>
              <w:rPr>
                <w:rFonts w:cs="Arial"/>
                <w:color w:val="000000"/>
                <w:szCs w:val="22"/>
              </w:rPr>
              <w:t>several</w:t>
            </w:r>
            <w:r w:rsidRPr="00615ACA">
              <w:rPr>
                <w:rFonts w:cs="Arial"/>
                <w:color w:val="000000"/>
                <w:szCs w:val="22"/>
              </w:rPr>
              <w:t xml:space="preserve"> aspects of diabetes management, including </w:t>
            </w:r>
            <w:r w:rsidR="003771E4">
              <w:rPr>
                <w:rFonts w:cs="Arial"/>
                <w:color w:val="000000"/>
                <w:szCs w:val="22"/>
              </w:rPr>
              <w:t>health care</w:t>
            </w:r>
            <w:r w:rsidRPr="00615ACA">
              <w:rPr>
                <w:rFonts w:cs="Arial"/>
                <w:color w:val="000000"/>
                <w:szCs w:val="22"/>
              </w:rPr>
              <w:t xml:space="preserve"> access</w:t>
            </w:r>
            <w:r>
              <w:rPr>
                <w:rFonts w:cs="Arial"/>
                <w:color w:val="000000"/>
                <w:szCs w:val="22"/>
              </w:rPr>
              <w:t xml:space="preserve"> and quality</w:t>
            </w:r>
            <w:r w:rsidRPr="00615ACA">
              <w:rPr>
                <w:rFonts w:cs="Arial"/>
                <w:color w:val="000000"/>
                <w:szCs w:val="22"/>
              </w:rPr>
              <w:t xml:space="preserve">, provider practice, patient </w:t>
            </w:r>
            <w:r>
              <w:rPr>
                <w:rFonts w:cs="Arial"/>
                <w:color w:val="000000"/>
                <w:szCs w:val="22"/>
              </w:rPr>
              <w:t xml:space="preserve">preferences, health literacy, </w:t>
            </w:r>
            <w:proofErr w:type="gramStart"/>
            <w:r>
              <w:rPr>
                <w:rFonts w:cs="Arial"/>
                <w:color w:val="000000"/>
                <w:szCs w:val="22"/>
              </w:rPr>
              <w:t>adherence</w:t>
            </w:r>
            <w:proofErr w:type="gramEnd"/>
            <w:r>
              <w:rPr>
                <w:rFonts w:cs="Arial"/>
                <w:color w:val="000000"/>
                <w:szCs w:val="22"/>
              </w:rPr>
              <w:t xml:space="preserve"> and tolerability</w:t>
            </w:r>
            <w:r w:rsidRPr="00615ACA">
              <w:rPr>
                <w:rFonts w:cs="Arial"/>
                <w:color w:val="000000"/>
                <w:szCs w:val="22"/>
              </w:rPr>
              <w:t xml:space="preserve">. This information is valuable for designing targeted interventions to improve diabetes care and reduce disparities in </w:t>
            </w:r>
            <w:r w:rsidR="003771E4">
              <w:rPr>
                <w:rFonts w:cs="Arial"/>
                <w:color w:val="000000"/>
                <w:szCs w:val="22"/>
              </w:rPr>
              <w:t>health care</w:t>
            </w:r>
            <w:r w:rsidRPr="00615ACA">
              <w:rPr>
                <w:rFonts w:cs="Arial"/>
                <w:color w:val="000000"/>
                <w:szCs w:val="22"/>
              </w:rPr>
              <w:t xml:space="preserve"> delivery</w:t>
            </w:r>
            <w:r>
              <w:rPr>
                <w:rFonts w:cs="Arial"/>
                <w:color w:val="000000"/>
                <w:szCs w:val="22"/>
              </w:rPr>
              <w:t xml:space="preserve">. </w:t>
            </w:r>
          </w:p>
        </w:tc>
      </w:tr>
      <w:tr w:rsidR="001741EB" w:rsidRPr="00D42C24" w14:paraId="16140DAD" w14:textId="77777777" w:rsidTr="008A3436">
        <w:trPr>
          <w:trHeight w:val="327"/>
        </w:trPr>
        <w:tc>
          <w:tcPr>
            <w:tcW w:w="1668" w:type="dxa"/>
            <w:shd w:val="clear" w:color="auto" w:fill="auto"/>
          </w:tcPr>
          <w:p w14:paraId="197BB6EC" w14:textId="77777777" w:rsidR="001741EB" w:rsidRDefault="001741EB" w:rsidP="00592A16">
            <w:pPr>
              <w:pStyle w:val="Header"/>
              <w:spacing w:before="60"/>
              <w:ind w:left="-170"/>
              <w:jc w:val="center"/>
              <w:rPr>
                <w:rFonts w:cs="Arial"/>
                <w:szCs w:val="22"/>
              </w:rPr>
            </w:pPr>
            <w:r>
              <w:rPr>
                <w:rFonts w:cs="Arial"/>
                <w:szCs w:val="22"/>
              </w:rPr>
              <w:t>Commentary</w:t>
            </w:r>
          </w:p>
        </w:tc>
        <w:tc>
          <w:tcPr>
            <w:tcW w:w="7654" w:type="dxa"/>
            <w:shd w:val="clear" w:color="auto" w:fill="auto"/>
            <w:vAlign w:val="bottom"/>
          </w:tcPr>
          <w:p w14:paraId="3A253402" w14:textId="77777777" w:rsidR="001741EB" w:rsidRDefault="001741EB" w:rsidP="001741EB">
            <w:pPr>
              <w:spacing w:before="60"/>
              <w:rPr>
                <w:rFonts w:cs="Arial"/>
                <w:color w:val="000000"/>
                <w:szCs w:val="22"/>
              </w:rPr>
            </w:pPr>
            <w:r>
              <w:rPr>
                <w:rFonts w:cs="Arial"/>
                <w:color w:val="000000"/>
                <w:szCs w:val="22"/>
              </w:rPr>
              <w:t xml:space="preserve">Description: </w:t>
            </w:r>
          </w:p>
          <w:p w14:paraId="49C5F546" w14:textId="4198795A" w:rsidR="001741EB" w:rsidRPr="0098394B" w:rsidRDefault="001741EB" w:rsidP="001741EB">
            <w:pPr>
              <w:rPr>
                <w:rFonts w:cs="Arial"/>
              </w:rPr>
            </w:pPr>
            <w:r>
              <w:t>This indicator shows the number and percent of people with diabetes receiv</w:t>
            </w:r>
            <w:r w:rsidR="00355D6F">
              <w:t>i</w:t>
            </w:r>
            <w:r>
              <w:t xml:space="preserve">ng metformin regularly. </w:t>
            </w:r>
            <w:r w:rsidRPr="00E44801">
              <w:rPr>
                <w:rFonts w:cs="Arial"/>
              </w:rPr>
              <w:t xml:space="preserve">Regular use was defined as metformin dispensed in three or more quarters in a year. </w:t>
            </w:r>
          </w:p>
          <w:p w14:paraId="4A5F64A2" w14:textId="77777777" w:rsidR="001741EB" w:rsidRDefault="001741EB" w:rsidP="00DD7BAF">
            <w:pPr>
              <w:spacing w:before="200"/>
              <w:rPr>
                <w:rFonts w:cs="Arial"/>
                <w:color w:val="000000"/>
                <w:szCs w:val="22"/>
              </w:rPr>
            </w:pPr>
            <w:r>
              <w:rPr>
                <w:rFonts w:cs="Arial"/>
                <w:color w:val="000000"/>
                <w:szCs w:val="22"/>
              </w:rPr>
              <w:t>Notes:</w:t>
            </w:r>
          </w:p>
          <w:p w14:paraId="48A46B66" w14:textId="441B7A3F" w:rsidR="001741EB" w:rsidRDefault="001741EB" w:rsidP="00514EA6">
            <w:pPr>
              <w:pStyle w:val="ListParagraph"/>
              <w:numPr>
                <w:ilvl w:val="0"/>
                <w:numId w:val="4"/>
              </w:numPr>
              <w:spacing w:before="60"/>
              <w:rPr>
                <w:color w:val="000000"/>
              </w:rPr>
            </w:pPr>
            <w:r w:rsidRPr="007971EC">
              <w:rPr>
                <w:color w:val="000000"/>
              </w:rPr>
              <w:t>Metformin is also used to treat polycystic ovary syndrome in women aged 12</w:t>
            </w:r>
            <w:r w:rsidRPr="007971EC">
              <w:rPr>
                <w:rFonts w:ascii="Calibri" w:hAnsi="Calibri" w:cs="Calibri"/>
                <w:color w:val="000000"/>
              </w:rPr>
              <w:t>‒</w:t>
            </w:r>
            <w:r w:rsidRPr="007971EC">
              <w:rPr>
                <w:color w:val="000000"/>
              </w:rPr>
              <w:t>45 years. Women within this age group, dispensed metformin, have not been included within the VDR</w:t>
            </w:r>
            <w:r>
              <w:rPr>
                <w:color w:val="000000"/>
              </w:rPr>
              <w:t xml:space="preserve"> unless they also have diabetes.</w:t>
            </w:r>
          </w:p>
          <w:p w14:paraId="66B90C02" w14:textId="77777777" w:rsidR="001741EB" w:rsidRDefault="001741EB" w:rsidP="00514EA6">
            <w:pPr>
              <w:pStyle w:val="ListParagraph"/>
              <w:numPr>
                <w:ilvl w:val="0"/>
                <w:numId w:val="4"/>
              </w:numPr>
              <w:spacing w:before="60"/>
              <w:rPr>
                <w:color w:val="000000"/>
              </w:rPr>
            </w:pPr>
            <w:r w:rsidRPr="007116CF">
              <w:rPr>
                <w:color w:val="000000"/>
              </w:rPr>
              <w:t xml:space="preserve">It was not possible to analyse indicator by the type of diabetes. </w:t>
            </w:r>
            <w:proofErr w:type="gramStart"/>
            <w:r w:rsidRPr="007116CF">
              <w:rPr>
                <w:color w:val="000000"/>
              </w:rPr>
              <w:t>However</w:t>
            </w:r>
            <w:proofErr w:type="gramEnd"/>
            <w:r w:rsidRPr="007116CF">
              <w:rPr>
                <w:color w:val="000000"/>
              </w:rPr>
              <w:t xml:space="preserve"> it is assumed that type 2 diabetes is more prevalent in people aged 25 years or over than typ</w:t>
            </w:r>
            <w:r>
              <w:rPr>
                <w:color w:val="000000"/>
              </w:rPr>
              <w:t>e</w:t>
            </w:r>
            <w:r w:rsidRPr="007116CF">
              <w:rPr>
                <w:color w:val="000000"/>
              </w:rPr>
              <w:t xml:space="preserve"> 1 diabetes.</w:t>
            </w:r>
          </w:p>
          <w:p w14:paraId="1D79F1EB" w14:textId="77777777" w:rsidR="001741EB" w:rsidRDefault="001741EB" w:rsidP="00355D6F">
            <w:pPr>
              <w:spacing w:before="200"/>
              <w:rPr>
                <w:color w:val="000000"/>
              </w:rPr>
            </w:pPr>
            <w:r>
              <w:rPr>
                <w:color w:val="000000"/>
              </w:rPr>
              <w:t>Why is this indicator important?</w:t>
            </w:r>
          </w:p>
          <w:p w14:paraId="6A427872" w14:textId="28A6BA29" w:rsidR="001741EB" w:rsidRDefault="001741EB" w:rsidP="001741EB">
            <w:pPr>
              <w:spacing w:before="60"/>
              <w:rPr>
                <w:rFonts w:cs="Arial"/>
                <w:color w:val="000000"/>
                <w:szCs w:val="22"/>
              </w:rPr>
            </w:pPr>
            <w:r>
              <w:rPr>
                <w:rFonts w:cs="Arial"/>
                <w:color w:val="000000"/>
                <w:szCs w:val="22"/>
              </w:rPr>
              <w:t xml:space="preserve">Metformin is commonly prescribed medicine for type 2 </w:t>
            </w:r>
            <w:r w:rsidR="006E3A02">
              <w:rPr>
                <w:rFonts w:cs="Arial"/>
                <w:color w:val="000000"/>
                <w:szCs w:val="22"/>
              </w:rPr>
              <w:t>d</w:t>
            </w:r>
            <w:r>
              <w:rPr>
                <w:rFonts w:cs="Arial"/>
                <w:color w:val="000000"/>
                <w:szCs w:val="22"/>
              </w:rPr>
              <w:t>iabetes.</w:t>
            </w:r>
            <w:r w:rsidRPr="00EB15E0">
              <w:rPr>
                <w:rFonts w:ascii="Segoe UI" w:hAnsi="Segoe UI" w:cs="Segoe UI"/>
                <w:color w:val="374151"/>
                <w:shd w:val="clear" w:color="auto" w:fill="F7F7F8"/>
              </w:rPr>
              <w:t xml:space="preserve"> </w:t>
            </w:r>
            <w:r w:rsidRPr="00EB15E0">
              <w:rPr>
                <w:rFonts w:cs="Arial"/>
                <w:color w:val="000000"/>
                <w:szCs w:val="22"/>
              </w:rPr>
              <w:t xml:space="preserve">Low metformin usage is a significant concern that warrants further investigation to identify the underlying </w:t>
            </w:r>
            <w:r>
              <w:rPr>
                <w:rFonts w:cs="Arial"/>
                <w:color w:val="000000"/>
                <w:szCs w:val="22"/>
              </w:rPr>
              <w:t>contributing factors.</w:t>
            </w:r>
          </w:p>
          <w:p w14:paraId="709A2A60" w14:textId="77777777" w:rsidR="001741EB" w:rsidRDefault="001741EB" w:rsidP="00355D6F">
            <w:pPr>
              <w:spacing w:before="200"/>
              <w:rPr>
                <w:color w:val="000000"/>
              </w:rPr>
            </w:pPr>
            <w:r>
              <w:rPr>
                <w:color w:val="000000"/>
              </w:rPr>
              <w:t>What questions does this prompt?</w:t>
            </w:r>
          </w:p>
          <w:p w14:paraId="65589C75" w14:textId="700F8D8E" w:rsidR="001741EB" w:rsidRDefault="001741EB" w:rsidP="00514EA6">
            <w:pPr>
              <w:pStyle w:val="ListParagraph"/>
              <w:numPr>
                <w:ilvl w:val="0"/>
                <w:numId w:val="4"/>
              </w:numPr>
              <w:spacing w:before="60"/>
              <w:rPr>
                <w:color w:val="000000"/>
              </w:rPr>
            </w:pPr>
            <w:r>
              <w:rPr>
                <w:color w:val="000000"/>
              </w:rPr>
              <w:t xml:space="preserve">Why is the use significantly lower in people aged </w:t>
            </w:r>
            <w:r w:rsidR="00481942">
              <w:rPr>
                <w:color w:val="000000"/>
              </w:rPr>
              <w:t>25‒44</w:t>
            </w:r>
            <w:r>
              <w:rPr>
                <w:color w:val="000000"/>
              </w:rPr>
              <w:t xml:space="preserve"> years?</w:t>
            </w:r>
            <w:r w:rsidR="00394485">
              <w:rPr>
                <w:color w:val="000000"/>
              </w:rPr>
              <w:t xml:space="preserve"> </w:t>
            </w:r>
            <w:r>
              <w:rPr>
                <w:color w:val="000000"/>
              </w:rPr>
              <w:t>Is this appropriate?</w:t>
            </w:r>
          </w:p>
          <w:p w14:paraId="5E985C26" w14:textId="1FB6861C" w:rsidR="001741EB" w:rsidRPr="00394485" w:rsidRDefault="001741EB" w:rsidP="00394485">
            <w:pPr>
              <w:pStyle w:val="ListParagraph"/>
              <w:numPr>
                <w:ilvl w:val="0"/>
                <w:numId w:val="4"/>
              </w:numPr>
              <w:spacing w:before="60" w:after="60"/>
              <w:rPr>
                <w:color w:val="000000"/>
              </w:rPr>
            </w:pPr>
            <w:r w:rsidRPr="00754371">
              <w:rPr>
                <w:color w:val="000000"/>
              </w:rPr>
              <w:t>Are there any barriers or misconceptions regarding metformin use?</w:t>
            </w:r>
          </w:p>
        </w:tc>
      </w:tr>
    </w:tbl>
    <w:p w14:paraId="090C3B54" w14:textId="77777777" w:rsidR="00FC6048" w:rsidRDefault="00FC6048" w:rsidP="0000087A">
      <w:pPr>
        <w:rPr>
          <w:rFonts w:cs="Arial"/>
          <w:szCs w:val="22"/>
        </w:rPr>
      </w:pPr>
    </w:p>
    <w:tbl>
      <w:tblPr>
        <w:tblW w:w="932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A0" w:firstRow="1" w:lastRow="0" w:firstColumn="1" w:lastColumn="0" w:noHBand="0" w:noVBand="0"/>
      </w:tblPr>
      <w:tblGrid>
        <w:gridCol w:w="1668"/>
        <w:gridCol w:w="7654"/>
      </w:tblGrid>
      <w:tr w:rsidR="004527E0" w:rsidRPr="00D42C24" w14:paraId="0BA1DEB9" w14:textId="77777777" w:rsidTr="0070252E">
        <w:trPr>
          <w:trHeight w:val="327"/>
        </w:trPr>
        <w:tc>
          <w:tcPr>
            <w:tcW w:w="1668" w:type="dxa"/>
            <w:shd w:val="clear" w:color="auto" w:fill="auto"/>
          </w:tcPr>
          <w:p w14:paraId="5E42F99A" w14:textId="2E9188BD" w:rsidR="004527E0" w:rsidRPr="00D42C24" w:rsidRDefault="004527E0" w:rsidP="0070252E">
            <w:pPr>
              <w:pStyle w:val="Header"/>
              <w:spacing w:before="60"/>
              <w:rPr>
                <w:rFonts w:cs="Arial"/>
                <w:b/>
                <w:color w:val="808080"/>
                <w:szCs w:val="22"/>
              </w:rPr>
            </w:pPr>
            <w:r w:rsidRPr="00D42C24">
              <w:rPr>
                <w:rFonts w:cs="Arial"/>
                <w:b/>
                <w:szCs w:val="22"/>
              </w:rPr>
              <w:lastRenderedPageBreak/>
              <w:t>Indicator #</w:t>
            </w:r>
            <w:r>
              <w:rPr>
                <w:rFonts w:cs="Arial"/>
                <w:b/>
                <w:szCs w:val="22"/>
              </w:rPr>
              <w:t>3</w:t>
            </w:r>
            <w:r w:rsidRPr="00D42C24">
              <w:rPr>
                <w:rFonts w:cs="Arial"/>
                <w:b/>
                <w:szCs w:val="22"/>
              </w:rPr>
              <w:t>:</w:t>
            </w:r>
          </w:p>
        </w:tc>
        <w:tc>
          <w:tcPr>
            <w:tcW w:w="7654" w:type="dxa"/>
            <w:shd w:val="clear" w:color="auto" w:fill="auto"/>
            <w:vAlign w:val="bottom"/>
          </w:tcPr>
          <w:p w14:paraId="4A6E7C42" w14:textId="77777777" w:rsidR="004527E0" w:rsidRPr="00D42C24" w:rsidRDefault="004527E0" w:rsidP="0070252E">
            <w:pPr>
              <w:pStyle w:val="Header"/>
              <w:spacing w:before="60"/>
              <w:rPr>
                <w:rFonts w:cs="Arial"/>
                <w:b/>
                <w:color w:val="000000"/>
                <w:szCs w:val="22"/>
              </w:rPr>
            </w:pPr>
            <w:r>
              <w:rPr>
                <w:rFonts w:cs="Arial"/>
                <w:color w:val="000000"/>
                <w:szCs w:val="22"/>
              </w:rPr>
              <w:t>People with diabetes regularly receiving vildagliptin</w:t>
            </w:r>
          </w:p>
        </w:tc>
      </w:tr>
      <w:tr w:rsidR="004527E0" w:rsidRPr="00D42C24" w14:paraId="316FDD41" w14:textId="77777777" w:rsidTr="0070252E">
        <w:trPr>
          <w:trHeight w:val="327"/>
        </w:trPr>
        <w:tc>
          <w:tcPr>
            <w:tcW w:w="1668" w:type="dxa"/>
            <w:shd w:val="clear" w:color="auto" w:fill="auto"/>
          </w:tcPr>
          <w:p w14:paraId="5BEA2484" w14:textId="77777777" w:rsidR="004527E0" w:rsidRPr="00D42C24" w:rsidRDefault="004527E0" w:rsidP="0070252E">
            <w:pPr>
              <w:pStyle w:val="Header"/>
              <w:spacing w:before="60"/>
              <w:rPr>
                <w:rFonts w:cs="Arial"/>
                <w:szCs w:val="22"/>
              </w:rPr>
            </w:pPr>
            <w:r>
              <w:rPr>
                <w:rFonts w:cs="Arial"/>
                <w:szCs w:val="22"/>
              </w:rPr>
              <w:t>Numerator</w:t>
            </w:r>
          </w:p>
        </w:tc>
        <w:tc>
          <w:tcPr>
            <w:tcW w:w="7654" w:type="dxa"/>
            <w:shd w:val="clear" w:color="auto" w:fill="auto"/>
            <w:vAlign w:val="bottom"/>
          </w:tcPr>
          <w:p w14:paraId="4087B677" w14:textId="77777777" w:rsidR="004527E0" w:rsidRPr="00D42C24" w:rsidRDefault="004527E0" w:rsidP="0070252E">
            <w:pPr>
              <w:pStyle w:val="Header"/>
              <w:spacing w:before="60"/>
              <w:rPr>
                <w:rFonts w:cs="Arial"/>
                <w:color w:val="000000"/>
                <w:szCs w:val="22"/>
              </w:rPr>
            </w:pPr>
            <w:r>
              <w:rPr>
                <w:rFonts w:cs="Arial"/>
                <w:color w:val="000000"/>
                <w:szCs w:val="22"/>
              </w:rPr>
              <w:t>People with diabetes dispensed vildagliptin</w:t>
            </w:r>
            <w:r>
              <w:t xml:space="preserve"> in three or four quarters in the relevant year</w:t>
            </w:r>
          </w:p>
        </w:tc>
      </w:tr>
      <w:tr w:rsidR="004527E0" w:rsidRPr="00680D83" w14:paraId="4BCBF8C0" w14:textId="77777777" w:rsidTr="0070252E">
        <w:trPr>
          <w:trHeight w:val="327"/>
        </w:trPr>
        <w:tc>
          <w:tcPr>
            <w:tcW w:w="1668" w:type="dxa"/>
            <w:shd w:val="clear" w:color="auto" w:fill="auto"/>
          </w:tcPr>
          <w:p w14:paraId="2B87E147" w14:textId="77777777" w:rsidR="004527E0" w:rsidRPr="00D42C24" w:rsidRDefault="004527E0" w:rsidP="0070252E">
            <w:pPr>
              <w:pStyle w:val="Header"/>
              <w:spacing w:before="60"/>
              <w:rPr>
                <w:rFonts w:cs="Arial"/>
                <w:szCs w:val="22"/>
              </w:rPr>
            </w:pPr>
            <w:r w:rsidRPr="00D42C24">
              <w:rPr>
                <w:rFonts w:cs="Arial"/>
                <w:szCs w:val="22"/>
              </w:rPr>
              <w:t>Denominator</w:t>
            </w:r>
          </w:p>
        </w:tc>
        <w:tc>
          <w:tcPr>
            <w:tcW w:w="7654" w:type="dxa"/>
            <w:shd w:val="clear" w:color="auto" w:fill="auto"/>
            <w:vAlign w:val="bottom"/>
          </w:tcPr>
          <w:p w14:paraId="16DA3265" w14:textId="77777777" w:rsidR="004527E0" w:rsidRPr="00680D83" w:rsidRDefault="004527E0" w:rsidP="0070252E">
            <w:pPr>
              <w:pStyle w:val="Header"/>
              <w:spacing w:before="60"/>
            </w:pPr>
            <w:r>
              <w:rPr>
                <w:rFonts w:cs="Arial"/>
                <w:szCs w:val="22"/>
              </w:rPr>
              <w:t>Count of distinct master NHIs</w:t>
            </w:r>
            <w:r w:rsidDel="00114E54">
              <w:t xml:space="preserve"> </w:t>
            </w:r>
            <w:r>
              <w:t>identified as having diabetes as per the VDR</w:t>
            </w:r>
          </w:p>
        </w:tc>
      </w:tr>
      <w:tr w:rsidR="004527E0" w14:paraId="28A43504" w14:textId="77777777" w:rsidTr="0070252E">
        <w:trPr>
          <w:trHeight w:val="327"/>
        </w:trPr>
        <w:tc>
          <w:tcPr>
            <w:tcW w:w="1668" w:type="dxa"/>
            <w:shd w:val="clear" w:color="auto" w:fill="auto"/>
          </w:tcPr>
          <w:p w14:paraId="6B12B018" w14:textId="77777777" w:rsidR="004527E0" w:rsidRPr="00D42C24" w:rsidRDefault="004527E0" w:rsidP="0070252E">
            <w:pPr>
              <w:pStyle w:val="Header"/>
              <w:spacing w:before="60"/>
              <w:rPr>
                <w:rFonts w:cs="Arial"/>
                <w:szCs w:val="22"/>
              </w:rPr>
            </w:pPr>
            <w:r>
              <w:rPr>
                <w:rFonts w:cs="Arial"/>
                <w:szCs w:val="22"/>
              </w:rPr>
              <w:t>By variables</w:t>
            </w:r>
          </w:p>
        </w:tc>
        <w:tc>
          <w:tcPr>
            <w:tcW w:w="7654" w:type="dxa"/>
            <w:shd w:val="clear" w:color="auto" w:fill="auto"/>
            <w:vAlign w:val="bottom"/>
          </w:tcPr>
          <w:p w14:paraId="46FA7A76" w14:textId="77777777" w:rsidR="004527E0" w:rsidRDefault="004527E0" w:rsidP="0070252E">
            <w:pPr>
              <w:pStyle w:val="Header"/>
              <w:spacing w:before="60"/>
            </w:pPr>
            <w:r>
              <w:t xml:space="preserve">For single map analysis: By year (2018‒22), age group (0‒14 years, 15‒24 years, 25‒44 years, 45‒64 years, 65‒74 years and 75+ years), gender (female and male), ethnic group (Māori, Pacific peoples, Indian and European/other) and Health New Zealand district of domicile. </w:t>
            </w:r>
          </w:p>
          <w:p w14:paraId="1238D085" w14:textId="77777777" w:rsidR="004527E0" w:rsidRDefault="004527E0" w:rsidP="0070252E">
            <w:pPr>
              <w:pStyle w:val="Header"/>
              <w:spacing w:before="60"/>
            </w:pPr>
            <w:r>
              <w:t>For PHO analysis: By year (2022), age group (0‒14 years, 15‒24 years, 25‒44 years, 45‒64 years, 65‒74 years and 75+ years), gender (female and male), ethnic group (Māori, Pacific peoples, Indian and European/other), PHO most recently enrolled with (for the relevant year), PHO group (small, medium, medium‒large and large).</w:t>
            </w:r>
          </w:p>
        </w:tc>
      </w:tr>
      <w:tr w:rsidR="004527E0" w14:paraId="224DCF4C" w14:textId="77777777" w:rsidTr="0070252E">
        <w:trPr>
          <w:trHeight w:val="327"/>
        </w:trPr>
        <w:tc>
          <w:tcPr>
            <w:tcW w:w="1668" w:type="dxa"/>
            <w:shd w:val="clear" w:color="auto" w:fill="auto"/>
          </w:tcPr>
          <w:p w14:paraId="3E92A4DB" w14:textId="77777777" w:rsidR="004527E0" w:rsidRPr="00D42C24" w:rsidRDefault="004527E0" w:rsidP="0070252E">
            <w:pPr>
              <w:pStyle w:val="Header"/>
              <w:spacing w:before="60"/>
              <w:rPr>
                <w:rFonts w:cs="Arial"/>
                <w:szCs w:val="22"/>
              </w:rPr>
            </w:pPr>
            <w:r>
              <w:rPr>
                <w:rFonts w:cs="Arial"/>
                <w:szCs w:val="22"/>
              </w:rPr>
              <w:t>Data source</w:t>
            </w:r>
          </w:p>
        </w:tc>
        <w:tc>
          <w:tcPr>
            <w:tcW w:w="7654" w:type="dxa"/>
            <w:shd w:val="clear" w:color="auto" w:fill="auto"/>
            <w:vAlign w:val="bottom"/>
          </w:tcPr>
          <w:p w14:paraId="1ACB4D90" w14:textId="77777777" w:rsidR="004527E0" w:rsidRDefault="004527E0" w:rsidP="0070252E">
            <w:pPr>
              <w:pStyle w:val="Header"/>
              <w:spacing w:before="60"/>
            </w:pPr>
            <w:r>
              <w:t>Pharmaceutical Collection</w:t>
            </w:r>
          </w:p>
          <w:p w14:paraId="046B454A" w14:textId="77777777" w:rsidR="004527E0" w:rsidRDefault="004527E0" w:rsidP="0070252E">
            <w:pPr>
              <w:pStyle w:val="Header"/>
              <w:spacing w:before="60"/>
            </w:pPr>
            <w:r>
              <w:t xml:space="preserve">VDR </w:t>
            </w:r>
          </w:p>
        </w:tc>
      </w:tr>
      <w:tr w:rsidR="004527E0" w14:paraId="037EF667" w14:textId="77777777" w:rsidTr="0070252E">
        <w:trPr>
          <w:trHeight w:val="327"/>
        </w:trPr>
        <w:tc>
          <w:tcPr>
            <w:tcW w:w="1668" w:type="dxa"/>
            <w:shd w:val="clear" w:color="auto" w:fill="auto"/>
          </w:tcPr>
          <w:p w14:paraId="1E165EEB" w14:textId="77777777" w:rsidR="004527E0" w:rsidRDefault="004527E0" w:rsidP="0070252E">
            <w:pPr>
              <w:pStyle w:val="Header"/>
              <w:spacing w:before="60"/>
              <w:rPr>
                <w:rFonts w:cs="Arial"/>
                <w:szCs w:val="22"/>
              </w:rPr>
            </w:pPr>
            <w:r>
              <w:rPr>
                <w:rFonts w:cs="Arial"/>
                <w:szCs w:val="22"/>
              </w:rPr>
              <w:t>Code</w:t>
            </w:r>
          </w:p>
        </w:tc>
        <w:tc>
          <w:tcPr>
            <w:tcW w:w="7654" w:type="dxa"/>
            <w:shd w:val="clear" w:color="auto" w:fill="auto"/>
            <w:vAlign w:val="bottom"/>
          </w:tcPr>
          <w:p w14:paraId="5B441BB6" w14:textId="26BB48D9" w:rsidR="004527E0" w:rsidRPr="00B73AB1" w:rsidRDefault="004527E0" w:rsidP="0070252E">
            <w:pPr>
              <w:spacing w:before="60"/>
            </w:pPr>
            <w:r w:rsidRPr="00714344">
              <w:t>410325</w:t>
            </w:r>
            <w:r>
              <w:t xml:space="preserve"> </w:t>
            </w:r>
            <w:r w:rsidR="00442A14">
              <w:t>v</w:t>
            </w:r>
            <w:r>
              <w:t>ildagliptin</w:t>
            </w:r>
          </w:p>
          <w:p w14:paraId="5EE7F3C0" w14:textId="233F6DC8" w:rsidR="004527E0" w:rsidRPr="00B73AB1" w:rsidRDefault="004527E0" w:rsidP="0070252E">
            <w:pPr>
              <w:spacing w:before="60"/>
              <w:rPr>
                <w:rFonts w:cs="Arial"/>
                <w:color w:val="000000"/>
                <w:szCs w:val="22"/>
              </w:rPr>
            </w:pPr>
            <w:r w:rsidRPr="004979CB">
              <w:rPr>
                <w:rFonts w:cs="Arial"/>
                <w:color w:val="000000"/>
                <w:szCs w:val="22"/>
              </w:rPr>
              <w:t>41042</w:t>
            </w:r>
            <w:r>
              <w:rPr>
                <w:rFonts w:cs="Arial"/>
                <w:color w:val="000000"/>
                <w:szCs w:val="22"/>
              </w:rPr>
              <w:t xml:space="preserve">5 &amp; </w:t>
            </w:r>
            <w:r w:rsidRPr="004979CB">
              <w:rPr>
                <w:rFonts w:cs="Arial"/>
                <w:color w:val="000000"/>
                <w:szCs w:val="22"/>
              </w:rPr>
              <w:t xml:space="preserve">410426 </w:t>
            </w:r>
            <w:r w:rsidR="00442A14">
              <w:rPr>
                <w:rFonts w:cs="Arial"/>
                <w:color w:val="000000"/>
                <w:szCs w:val="22"/>
              </w:rPr>
              <w:t>v</w:t>
            </w:r>
            <w:r w:rsidRPr="004979CB">
              <w:rPr>
                <w:rFonts w:cs="Arial"/>
                <w:color w:val="000000"/>
                <w:szCs w:val="22"/>
              </w:rPr>
              <w:t>ildagliptin with metformin hydrochloride</w:t>
            </w:r>
          </w:p>
        </w:tc>
      </w:tr>
      <w:tr w:rsidR="004527E0" w:rsidRPr="00D42C24" w14:paraId="6628CF55" w14:textId="77777777" w:rsidTr="0070252E">
        <w:trPr>
          <w:trHeight w:val="327"/>
        </w:trPr>
        <w:tc>
          <w:tcPr>
            <w:tcW w:w="1668" w:type="dxa"/>
            <w:shd w:val="clear" w:color="auto" w:fill="auto"/>
          </w:tcPr>
          <w:p w14:paraId="38BF853E" w14:textId="77777777" w:rsidR="004527E0" w:rsidRPr="00D42C24" w:rsidRDefault="004527E0" w:rsidP="0070252E">
            <w:pPr>
              <w:pStyle w:val="Header"/>
              <w:spacing w:before="60"/>
              <w:rPr>
                <w:rFonts w:cs="Arial"/>
                <w:szCs w:val="22"/>
              </w:rPr>
            </w:pPr>
            <w:r>
              <w:rPr>
                <w:rFonts w:cs="Arial"/>
                <w:szCs w:val="22"/>
              </w:rPr>
              <w:t>Rationale</w:t>
            </w:r>
          </w:p>
        </w:tc>
        <w:tc>
          <w:tcPr>
            <w:tcW w:w="7654" w:type="dxa"/>
            <w:shd w:val="clear" w:color="auto" w:fill="auto"/>
            <w:vAlign w:val="bottom"/>
          </w:tcPr>
          <w:p w14:paraId="26675B5D" w14:textId="77777777" w:rsidR="004527E0" w:rsidRPr="00D42C24" w:rsidRDefault="004527E0" w:rsidP="0070252E">
            <w:pPr>
              <w:pStyle w:val="Header"/>
              <w:spacing w:before="60"/>
              <w:rPr>
                <w:rFonts w:cs="Arial"/>
                <w:color w:val="000000"/>
                <w:szCs w:val="22"/>
              </w:rPr>
            </w:pPr>
            <w:r>
              <w:rPr>
                <w:rFonts w:cs="Arial"/>
                <w:color w:val="000000"/>
                <w:szCs w:val="22"/>
              </w:rPr>
              <w:t xml:space="preserve">Understanding variation in dispensing these medicines </w:t>
            </w:r>
            <w:r w:rsidRPr="00BD40B6">
              <w:rPr>
                <w:rFonts w:cs="Arial"/>
                <w:color w:val="000000"/>
                <w:szCs w:val="22"/>
              </w:rPr>
              <w:t xml:space="preserve">is important for </w:t>
            </w:r>
            <w:r>
              <w:rPr>
                <w:rFonts w:cs="Arial"/>
                <w:color w:val="000000"/>
                <w:szCs w:val="22"/>
              </w:rPr>
              <w:t>optimising</w:t>
            </w:r>
            <w:r w:rsidRPr="00BD40B6">
              <w:rPr>
                <w:rFonts w:cs="Arial"/>
                <w:color w:val="000000"/>
                <w:szCs w:val="22"/>
              </w:rPr>
              <w:t xml:space="preserve"> diabetes care and ensuring that patients receive the most appropriate treatments. </w:t>
            </w:r>
          </w:p>
        </w:tc>
      </w:tr>
      <w:tr w:rsidR="004527E0" w:rsidRPr="00D42C24" w14:paraId="59180FD9" w14:textId="77777777" w:rsidTr="0070252E">
        <w:trPr>
          <w:trHeight w:val="327"/>
        </w:trPr>
        <w:tc>
          <w:tcPr>
            <w:tcW w:w="1668" w:type="dxa"/>
            <w:shd w:val="clear" w:color="auto" w:fill="auto"/>
          </w:tcPr>
          <w:p w14:paraId="46A6D3D5" w14:textId="77777777" w:rsidR="004527E0" w:rsidRDefault="004527E0" w:rsidP="0070252E">
            <w:pPr>
              <w:pStyle w:val="Header"/>
              <w:spacing w:before="60"/>
              <w:rPr>
                <w:rFonts w:cs="Arial"/>
                <w:szCs w:val="22"/>
              </w:rPr>
            </w:pPr>
            <w:r w:rsidRPr="00FD6AEC">
              <w:rPr>
                <w:rFonts w:cs="Arial"/>
                <w:szCs w:val="22"/>
              </w:rPr>
              <w:t>Commentary</w:t>
            </w:r>
          </w:p>
        </w:tc>
        <w:tc>
          <w:tcPr>
            <w:tcW w:w="7654" w:type="dxa"/>
            <w:shd w:val="clear" w:color="auto" w:fill="auto"/>
            <w:vAlign w:val="bottom"/>
          </w:tcPr>
          <w:p w14:paraId="0919780F" w14:textId="77777777" w:rsidR="004527E0" w:rsidRPr="00FD6AEC" w:rsidRDefault="004527E0" w:rsidP="0070252E">
            <w:pPr>
              <w:spacing w:before="60"/>
              <w:rPr>
                <w:rFonts w:cs="Arial"/>
                <w:color w:val="000000"/>
              </w:rPr>
            </w:pPr>
            <w:r w:rsidRPr="00FD6AEC">
              <w:rPr>
                <w:rFonts w:cs="Arial"/>
                <w:color w:val="000000"/>
              </w:rPr>
              <w:t xml:space="preserve">Description: </w:t>
            </w:r>
          </w:p>
          <w:p w14:paraId="311F9D95" w14:textId="77777777" w:rsidR="004527E0" w:rsidRPr="00FD6AEC" w:rsidRDefault="004527E0" w:rsidP="0070252E">
            <w:pPr>
              <w:pStyle w:val="Header"/>
              <w:spacing w:before="60"/>
              <w:rPr>
                <w:rFonts w:cs="Arial"/>
              </w:rPr>
            </w:pPr>
            <w:r w:rsidRPr="00FD6AEC">
              <w:rPr>
                <w:rFonts w:cs="Arial"/>
              </w:rPr>
              <w:t xml:space="preserve">This indicator shows the number and percent of people with diabetes receiving vildagliptin regularly. Regular use was defined as </w:t>
            </w:r>
            <w:r>
              <w:rPr>
                <w:rFonts w:cs="Arial"/>
                <w:color w:val="000000"/>
                <w:szCs w:val="22"/>
              </w:rPr>
              <w:t>vildagliptin</w:t>
            </w:r>
            <w:r w:rsidRPr="00FD6AEC">
              <w:rPr>
                <w:rFonts w:cs="Arial"/>
              </w:rPr>
              <w:t xml:space="preserve"> dispensed in three or more quarters in a year.</w:t>
            </w:r>
          </w:p>
          <w:p w14:paraId="24ED3792" w14:textId="77777777" w:rsidR="004527E0" w:rsidRPr="00FD6AEC" w:rsidRDefault="004527E0" w:rsidP="0070252E">
            <w:pPr>
              <w:spacing w:before="240"/>
              <w:rPr>
                <w:rFonts w:cs="Arial"/>
                <w:color w:val="000000"/>
              </w:rPr>
            </w:pPr>
            <w:r w:rsidRPr="00FD6AEC">
              <w:rPr>
                <w:rFonts w:cs="Arial"/>
                <w:color w:val="000000"/>
              </w:rPr>
              <w:t>Why is this indicator important?</w:t>
            </w:r>
          </w:p>
          <w:p w14:paraId="3B7998BB" w14:textId="77777777" w:rsidR="004527E0" w:rsidRPr="00FD6AEC" w:rsidRDefault="004527E0" w:rsidP="0070252E">
            <w:pPr>
              <w:spacing w:before="60"/>
              <w:rPr>
                <w:rFonts w:cs="Arial"/>
                <w:color w:val="000000"/>
              </w:rPr>
            </w:pPr>
            <w:r w:rsidRPr="00FD6AEC">
              <w:rPr>
                <w:rFonts w:cs="Arial"/>
                <w:color w:val="000000"/>
              </w:rPr>
              <w:t xml:space="preserve">Understanding variation in dispensing these </w:t>
            </w:r>
            <w:r>
              <w:rPr>
                <w:rFonts w:cs="Arial"/>
                <w:color w:val="000000"/>
              </w:rPr>
              <w:t>medicines</w:t>
            </w:r>
            <w:r w:rsidRPr="00FD6AEC">
              <w:rPr>
                <w:rFonts w:cs="Arial"/>
                <w:color w:val="000000"/>
              </w:rPr>
              <w:t xml:space="preserve"> is important for </w:t>
            </w:r>
            <w:r>
              <w:rPr>
                <w:rFonts w:cs="Arial"/>
                <w:color w:val="000000"/>
              </w:rPr>
              <w:t>optimising</w:t>
            </w:r>
            <w:r w:rsidRPr="00FD6AEC">
              <w:rPr>
                <w:rFonts w:cs="Arial"/>
                <w:color w:val="000000"/>
              </w:rPr>
              <w:t xml:space="preserve"> diabetes care and ensuring that patients receive the most appropriate treatments.</w:t>
            </w:r>
          </w:p>
          <w:p w14:paraId="42E51CB8" w14:textId="77777777" w:rsidR="004527E0" w:rsidRPr="00FD6AEC" w:rsidRDefault="004527E0" w:rsidP="0070252E">
            <w:pPr>
              <w:spacing w:before="240"/>
              <w:rPr>
                <w:rFonts w:cs="Arial"/>
                <w:color w:val="000000"/>
              </w:rPr>
            </w:pPr>
            <w:r w:rsidRPr="00FD6AEC">
              <w:rPr>
                <w:rFonts w:cs="Arial"/>
                <w:color w:val="000000"/>
              </w:rPr>
              <w:t>What questions does this prompt?</w:t>
            </w:r>
          </w:p>
          <w:p w14:paraId="6A8B9010" w14:textId="0384A0FC" w:rsidR="004527E0" w:rsidRPr="00FD6AEC" w:rsidRDefault="004527E0" w:rsidP="0070252E">
            <w:pPr>
              <w:pStyle w:val="ListParagraph"/>
              <w:numPr>
                <w:ilvl w:val="0"/>
                <w:numId w:val="4"/>
              </w:numPr>
              <w:spacing w:before="60" w:after="60"/>
              <w:contextualSpacing w:val="0"/>
              <w:rPr>
                <w:color w:val="000000"/>
              </w:rPr>
            </w:pPr>
            <w:r w:rsidRPr="00FD6AEC">
              <w:rPr>
                <w:color w:val="000000"/>
              </w:rPr>
              <w:t xml:space="preserve">How </w:t>
            </w:r>
            <w:r>
              <w:rPr>
                <w:color w:val="000000"/>
              </w:rPr>
              <w:t>d</w:t>
            </w:r>
            <w:r w:rsidRPr="00FD6AEC">
              <w:rPr>
                <w:color w:val="000000"/>
              </w:rPr>
              <w:t>o districts with similar ethnic composition compare?</w:t>
            </w:r>
          </w:p>
          <w:p w14:paraId="0722B21F" w14:textId="77777777" w:rsidR="004527E0" w:rsidRPr="00653FE2" w:rsidRDefault="004527E0" w:rsidP="0070252E">
            <w:pPr>
              <w:pStyle w:val="Header"/>
              <w:numPr>
                <w:ilvl w:val="0"/>
                <w:numId w:val="4"/>
              </w:numPr>
              <w:spacing w:before="60"/>
              <w:rPr>
                <w:rFonts w:cs="Arial"/>
                <w:color w:val="000000"/>
                <w:szCs w:val="22"/>
              </w:rPr>
            </w:pPr>
            <w:r w:rsidRPr="00FD6AEC">
              <w:rPr>
                <w:rFonts w:cs="Arial"/>
                <w:color w:val="000000"/>
                <w:szCs w:val="22"/>
              </w:rPr>
              <w:t>How do PHOs with similar populations compare?</w:t>
            </w:r>
          </w:p>
        </w:tc>
      </w:tr>
    </w:tbl>
    <w:p w14:paraId="0B24E7B4" w14:textId="77777777" w:rsidR="004527E0" w:rsidRDefault="004527E0" w:rsidP="004527E0">
      <w:pPr>
        <w:rPr>
          <w:rFonts w:cs="Arial"/>
          <w:szCs w:val="22"/>
        </w:rPr>
      </w:pPr>
    </w:p>
    <w:tbl>
      <w:tblPr>
        <w:tblW w:w="932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A0" w:firstRow="1" w:lastRow="0" w:firstColumn="1" w:lastColumn="0" w:noHBand="0" w:noVBand="0"/>
      </w:tblPr>
      <w:tblGrid>
        <w:gridCol w:w="1668"/>
        <w:gridCol w:w="7654"/>
      </w:tblGrid>
      <w:tr w:rsidR="004527E0" w:rsidRPr="00D42C24" w14:paraId="7C1BCF92" w14:textId="77777777" w:rsidTr="0070252E">
        <w:trPr>
          <w:trHeight w:val="327"/>
        </w:trPr>
        <w:tc>
          <w:tcPr>
            <w:tcW w:w="1668" w:type="dxa"/>
            <w:shd w:val="clear" w:color="auto" w:fill="auto"/>
          </w:tcPr>
          <w:p w14:paraId="21D99F23" w14:textId="0DADB6AB" w:rsidR="004527E0" w:rsidRPr="00D42C24" w:rsidRDefault="004527E0" w:rsidP="0070252E">
            <w:pPr>
              <w:pStyle w:val="Header"/>
              <w:spacing w:before="60"/>
              <w:rPr>
                <w:rFonts w:cs="Arial"/>
                <w:b/>
                <w:color w:val="808080"/>
                <w:szCs w:val="22"/>
              </w:rPr>
            </w:pPr>
            <w:r w:rsidRPr="00D42C24">
              <w:rPr>
                <w:rFonts w:cs="Arial"/>
                <w:b/>
                <w:szCs w:val="22"/>
              </w:rPr>
              <w:t>Indicator #</w:t>
            </w:r>
            <w:r>
              <w:rPr>
                <w:rFonts w:cs="Arial"/>
                <w:b/>
                <w:szCs w:val="22"/>
              </w:rPr>
              <w:t>4</w:t>
            </w:r>
            <w:r w:rsidRPr="00D42C24">
              <w:rPr>
                <w:rFonts w:cs="Arial"/>
                <w:b/>
                <w:szCs w:val="22"/>
              </w:rPr>
              <w:t>:</w:t>
            </w:r>
          </w:p>
        </w:tc>
        <w:tc>
          <w:tcPr>
            <w:tcW w:w="7654" w:type="dxa"/>
            <w:shd w:val="clear" w:color="auto" w:fill="auto"/>
            <w:vAlign w:val="bottom"/>
          </w:tcPr>
          <w:p w14:paraId="34BAC4C7" w14:textId="77777777" w:rsidR="004527E0" w:rsidRPr="00D42C24" w:rsidRDefault="004527E0" w:rsidP="0070252E">
            <w:pPr>
              <w:pStyle w:val="Header"/>
              <w:spacing w:before="60"/>
              <w:rPr>
                <w:rFonts w:cs="Arial"/>
                <w:b/>
                <w:color w:val="000000"/>
                <w:szCs w:val="22"/>
              </w:rPr>
            </w:pPr>
            <w:r>
              <w:rPr>
                <w:rFonts w:cs="Arial"/>
                <w:color w:val="000000"/>
                <w:szCs w:val="22"/>
              </w:rPr>
              <w:t>People with diabetes regularly receiving empagliflozin</w:t>
            </w:r>
          </w:p>
        </w:tc>
      </w:tr>
      <w:tr w:rsidR="004527E0" w:rsidRPr="00D42C24" w14:paraId="04FACF54" w14:textId="77777777" w:rsidTr="0070252E">
        <w:trPr>
          <w:trHeight w:val="327"/>
        </w:trPr>
        <w:tc>
          <w:tcPr>
            <w:tcW w:w="1668" w:type="dxa"/>
            <w:shd w:val="clear" w:color="auto" w:fill="auto"/>
          </w:tcPr>
          <w:p w14:paraId="51F7069B" w14:textId="77777777" w:rsidR="004527E0" w:rsidRPr="00D42C24" w:rsidRDefault="004527E0" w:rsidP="0070252E">
            <w:pPr>
              <w:pStyle w:val="Header"/>
              <w:spacing w:before="60"/>
              <w:rPr>
                <w:rFonts w:cs="Arial"/>
                <w:szCs w:val="22"/>
              </w:rPr>
            </w:pPr>
            <w:r>
              <w:rPr>
                <w:rFonts w:cs="Arial"/>
                <w:szCs w:val="22"/>
              </w:rPr>
              <w:t>Numerator</w:t>
            </w:r>
          </w:p>
        </w:tc>
        <w:tc>
          <w:tcPr>
            <w:tcW w:w="7654" w:type="dxa"/>
            <w:shd w:val="clear" w:color="auto" w:fill="auto"/>
            <w:vAlign w:val="bottom"/>
          </w:tcPr>
          <w:p w14:paraId="0CC537D0" w14:textId="77777777" w:rsidR="004527E0" w:rsidRPr="00D42C24" w:rsidRDefault="004527E0" w:rsidP="0070252E">
            <w:pPr>
              <w:pStyle w:val="Header"/>
              <w:spacing w:before="60"/>
              <w:rPr>
                <w:rFonts w:cs="Arial"/>
                <w:color w:val="000000"/>
                <w:szCs w:val="22"/>
              </w:rPr>
            </w:pPr>
            <w:r>
              <w:rPr>
                <w:rFonts w:cs="Arial"/>
                <w:color w:val="000000"/>
                <w:szCs w:val="22"/>
              </w:rPr>
              <w:t xml:space="preserve">People with diabetes dispensed </w:t>
            </w:r>
            <w:r w:rsidRPr="00FF2A4A">
              <w:rPr>
                <w:rFonts w:cs="Arial"/>
                <w:color w:val="000000"/>
                <w:szCs w:val="22"/>
              </w:rPr>
              <w:t>empagliflozin</w:t>
            </w:r>
            <w:r>
              <w:rPr>
                <w:rFonts w:cs="Arial"/>
                <w:color w:val="000000"/>
                <w:szCs w:val="22"/>
              </w:rPr>
              <w:t xml:space="preserve"> </w:t>
            </w:r>
            <w:r>
              <w:t>in three or four quarters in the relevant year</w:t>
            </w:r>
          </w:p>
        </w:tc>
      </w:tr>
      <w:tr w:rsidR="004527E0" w:rsidRPr="00D42C24" w14:paraId="400880CD" w14:textId="77777777" w:rsidTr="0070252E">
        <w:trPr>
          <w:trHeight w:val="327"/>
        </w:trPr>
        <w:tc>
          <w:tcPr>
            <w:tcW w:w="1668" w:type="dxa"/>
            <w:shd w:val="clear" w:color="auto" w:fill="auto"/>
          </w:tcPr>
          <w:p w14:paraId="24F075CD" w14:textId="77777777" w:rsidR="004527E0" w:rsidRPr="00D42C24" w:rsidRDefault="004527E0" w:rsidP="0070252E">
            <w:pPr>
              <w:pStyle w:val="Header"/>
              <w:spacing w:before="60"/>
              <w:rPr>
                <w:rFonts w:cs="Arial"/>
                <w:szCs w:val="22"/>
              </w:rPr>
            </w:pPr>
            <w:r w:rsidRPr="00D42C24">
              <w:rPr>
                <w:rFonts w:cs="Arial"/>
                <w:szCs w:val="22"/>
              </w:rPr>
              <w:t>Denominator</w:t>
            </w:r>
          </w:p>
        </w:tc>
        <w:tc>
          <w:tcPr>
            <w:tcW w:w="7654" w:type="dxa"/>
            <w:shd w:val="clear" w:color="auto" w:fill="auto"/>
            <w:vAlign w:val="bottom"/>
          </w:tcPr>
          <w:p w14:paraId="37E3FA5D" w14:textId="77777777" w:rsidR="004527E0" w:rsidRPr="00680D83" w:rsidRDefault="004527E0" w:rsidP="0070252E">
            <w:pPr>
              <w:pStyle w:val="Header"/>
              <w:spacing w:before="60"/>
            </w:pPr>
            <w:r>
              <w:rPr>
                <w:rFonts w:cs="Arial"/>
                <w:szCs w:val="22"/>
              </w:rPr>
              <w:t>Count of distinct master NHIs</w:t>
            </w:r>
            <w:r w:rsidDel="00114E54">
              <w:t xml:space="preserve"> </w:t>
            </w:r>
            <w:r>
              <w:t>identified as having diabetes as per the VDR</w:t>
            </w:r>
          </w:p>
        </w:tc>
      </w:tr>
      <w:tr w:rsidR="004527E0" w:rsidRPr="00D42C24" w14:paraId="5D0B8E5F" w14:textId="77777777" w:rsidTr="0070252E">
        <w:trPr>
          <w:trHeight w:val="327"/>
        </w:trPr>
        <w:tc>
          <w:tcPr>
            <w:tcW w:w="1668" w:type="dxa"/>
            <w:shd w:val="clear" w:color="auto" w:fill="auto"/>
          </w:tcPr>
          <w:p w14:paraId="21420919" w14:textId="77777777" w:rsidR="004527E0" w:rsidRPr="00D42C24" w:rsidRDefault="004527E0" w:rsidP="0070252E">
            <w:pPr>
              <w:pStyle w:val="Header"/>
              <w:spacing w:before="60"/>
              <w:rPr>
                <w:rFonts w:cs="Arial"/>
                <w:szCs w:val="22"/>
              </w:rPr>
            </w:pPr>
            <w:r>
              <w:rPr>
                <w:rFonts w:cs="Arial"/>
                <w:szCs w:val="22"/>
              </w:rPr>
              <w:t>By variables</w:t>
            </w:r>
          </w:p>
        </w:tc>
        <w:tc>
          <w:tcPr>
            <w:tcW w:w="7654" w:type="dxa"/>
            <w:shd w:val="clear" w:color="auto" w:fill="auto"/>
            <w:vAlign w:val="bottom"/>
          </w:tcPr>
          <w:p w14:paraId="7D63C8A3" w14:textId="77777777" w:rsidR="004527E0" w:rsidRDefault="004527E0" w:rsidP="0070252E">
            <w:pPr>
              <w:pStyle w:val="Header"/>
              <w:spacing w:before="60"/>
            </w:pPr>
            <w:r>
              <w:t xml:space="preserve">For single map analysis: By year (2018‒22), age group (0‒14 years, 15‒24 years, 25‒44 years, 45‒64 years, 65‒74 years and 75+ years), gender (female and male), ethnic group (Māori, Pacific peoples, Indian and European/other) and Health New Zealand district of domicile. </w:t>
            </w:r>
          </w:p>
          <w:p w14:paraId="78151D22" w14:textId="77777777" w:rsidR="004527E0" w:rsidRDefault="004527E0" w:rsidP="0070252E">
            <w:pPr>
              <w:pStyle w:val="Header"/>
              <w:spacing w:before="60"/>
            </w:pPr>
            <w:r>
              <w:lastRenderedPageBreak/>
              <w:t>For PHO analysis: By year (2022), age group (0‒14 years, 15‒24 years, 25‒44 years, 45‒64 years, 65‒74 years and 75+ years), gender (female and male), ethnic group (Māori, Pacific peoples, Indian and European/other), PHO most recently enrolled with (for the relevant year), PHO group (small, medium, medium‒large and large).</w:t>
            </w:r>
          </w:p>
        </w:tc>
      </w:tr>
      <w:tr w:rsidR="004527E0" w:rsidRPr="00D42C24" w14:paraId="7008475E" w14:textId="77777777" w:rsidTr="0070252E">
        <w:trPr>
          <w:trHeight w:val="327"/>
        </w:trPr>
        <w:tc>
          <w:tcPr>
            <w:tcW w:w="1668" w:type="dxa"/>
            <w:shd w:val="clear" w:color="auto" w:fill="auto"/>
          </w:tcPr>
          <w:p w14:paraId="1F61B771" w14:textId="77777777" w:rsidR="004527E0" w:rsidRPr="00D42C24" w:rsidRDefault="004527E0" w:rsidP="0070252E">
            <w:pPr>
              <w:pStyle w:val="Header"/>
              <w:spacing w:before="60"/>
              <w:rPr>
                <w:rFonts w:cs="Arial"/>
                <w:szCs w:val="22"/>
              </w:rPr>
            </w:pPr>
            <w:r>
              <w:rPr>
                <w:rFonts w:cs="Arial"/>
                <w:szCs w:val="22"/>
              </w:rPr>
              <w:lastRenderedPageBreak/>
              <w:t>Data source</w:t>
            </w:r>
          </w:p>
        </w:tc>
        <w:tc>
          <w:tcPr>
            <w:tcW w:w="7654" w:type="dxa"/>
            <w:shd w:val="clear" w:color="auto" w:fill="auto"/>
            <w:vAlign w:val="bottom"/>
          </w:tcPr>
          <w:p w14:paraId="02C7373B" w14:textId="77777777" w:rsidR="004527E0" w:rsidRDefault="004527E0" w:rsidP="0070252E">
            <w:pPr>
              <w:pStyle w:val="Header"/>
              <w:spacing w:before="60"/>
            </w:pPr>
            <w:r>
              <w:t>Pharmaceutical Collection</w:t>
            </w:r>
          </w:p>
          <w:p w14:paraId="2F9E895B" w14:textId="77777777" w:rsidR="004527E0" w:rsidRDefault="004527E0" w:rsidP="0070252E">
            <w:pPr>
              <w:pStyle w:val="Header"/>
              <w:spacing w:before="60"/>
            </w:pPr>
            <w:r>
              <w:t xml:space="preserve">VDR </w:t>
            </w:r>
          </w:p>
        </w:tc>
      </w:tr>
      <w:tr w:rsidR="004527E0" w:rsidRPr="00D42C24" w14:paraId="5E441170" w14:textId="77777777" w:rsidTr="0070252E">
        <w:trPr>
          <w:trHeight w:val="327"/>
        </w:trPr>
        <w:tc>
          <w:tcPr>
            <w:tcW w:w="1668" w:type="dxa"/>
            <w:shd w:val="clear" w:color="auto" w:fill="auto"/>
          </w:tcPr>
          <w:p w14:paraId="08A6D3CB" w14:textId="77777777" w:rsidR="004527E0" w:rsidRDefault="004527E0" w:rsidP="0070252E">
            <w:pPr>
              <w:pStyle w:val="Header"/>
              <w:spacing w:before="60"/>
              <w:rPr>
                <w:rFonts w:cs="Arial"/>
                <w:szCs w:val="22"/>
              </w:rPr>
            </w:pPr>
            <w:r>
              <w:rPr>
                <w:rFonts w:cs="Arial"/>
                <w:szCs w:val="22"/>
              </w:rPr>
              <w:t>Code</w:t>
            </w:r>
          </w:p>
        </w:tc>
        <w:tc>
          <w:tcPr>
            <w:tcW w:w="7654" w:type="dxa"/>
            <w:shd w:val="clear" w:color="auto" w:fill="auto"/>
            <w:vAlign w:val="bottom"/>
          </w:tcPr>
          <w:p w14:paraId="0317C2EE" w14:textId="671FA815" w:rsidR="004527E0" w:rsidRDefault="004527E0" w:rsidP="0070252E">
            <w:pPr>
              <w:spacing w:before="60"/>
              <w:rPr>
                <w:rFonts w:cs="Arial"/>
                <w:color w:val="000000"/>
                <w:szCs w:val="22"/>
              </w:rPr>
            </w:pPr>
            <w:r>
              <w:rPr>
                <w:rFonts w:cs="Arial"/>
                <w:color w:val="000000"/>
                <w:szCs w:val="22"/>
              </w:rPr>
              <w:t xml:space="preserve">413725 &amp; 413726 </w:t>
            </w:r>
            <w:r>
              <w:rPr>
                <w:rFonts w:cs="Arial"/>
                <w:color w:val="000000"/>
                <w:szCs w:val="22"/>
              </w:rPr>
              <w:t>e</w:t>
            </w:r>
            <w:r>
              <w:rPr>
                <w:rFonts w:cs="Arial"/>
                <w:color w:val="000000"/>
                <w:szCs w:val="22"/>
              </w:rPr>
              <w:t xml:space="preserve">mpagliflozin </w:t>
            </w:r>
          </w:p>
          <w:p w14:paraId="419DD012" w14:textId="007183D6" w:rsidR="004527E0" w:rsidRPr="00D6250D" w:rsidRDefault="004527E0" w:rsidP="0070252E">
            <w:pPr>
              <w:spacing w:before="60"/>
              <w:rPr>
                <w:rFonts w:cs="Arial"/>
                <w:color w:val="000000"/>
                <w:szCs w:val="22"/>
              </w:rPr>
            </w:pPr>
            <w:r w:rsidRPr="004979CB">
              <w:rPr>
                <w:rFonts w:cs="Arial"/>
                <w:color w:val="000000"/>
                <w:szCs w:val="22"/>
              </w:rPr>
              <w:t xml:space="preserve">413825, 413826, 413827 </w:t>
            </w:r>
            <w:r>
              <w:rPr>
                <w:rFonts w:cs="Arial"/>
                <w:color w:val="000000"/>
                <w:szCs w:val="22"/>
              </w:rPr>
              <w:t xml:space="preserve">&amp; </w:t>
            </w:r>
            <w:r w:rsidRPr="004979CB">
              <w:rPr>
                <w:rFonts w:cs="Arial"/>
                <w:color w:val="000000"/>
                <w:szCs w:val="22"/>
              </w:rPr>
              <w:t xml:space="preserve">413828 </w:t>
            </w:r>
            <w:r>
              <w:rPr>
                <w:rFonts w:cs="Arial"/>
                <w:color w:val="000000"/>
                <w:szCs w:val="22"/>
              </w:rPr>
              <w:t>e</w:t>
            </w:r>
            <w:r w:rsidRPr="004979CB">
              <w:rPr>
                <w:rFonts w:cs="Arial"/>
                <w:color w:val="000000"/>
                <w:szCs w:val="22"/>
              </w:rPr>
              <w:t>mpagliflozin with metformin hydrochloride</w:t>
            </w:r>
          </w:p>
        </w:tc>
      </w:tr>
      <w:tr w:rsidR="004527E0" w:rsidRPr="00D42C24" w14:paraId="7EC99B01" w14:textId="77777777" w:rsidTr="0070252E">
        <w:trPr>
          <w:trHeight w:val="327"/>
        </w:trPr>
        <w:tc>
          <w:tcPr>
            <w:tcW w:w="1668" w:type="dxa"/>
            <w:shd w:val="clear" w:color="auto" w:fill="auto"/>
          </w:tcPr>
          <w:p w14:paraId="745DF0CB" w14:textId="77777777" w:rsidR="004527E0" w:rsidRPr="00D42C24" w:rsidRDefault="004527E0" w:rsidP="0070252E">
            <w:pPr>
              <w:pStyle w:val="Header"/>
              <w:spacing w:before="60"/>
              <w:rPr>
                <w:rFonts w:cs="Arial"/>
                <w:szCs w:val="22"/>
              </w:rPr>
            </w:pPr>
            <w:r>
              <w:rPr>
                <w:rFonts w:cs="Arial"/>
                <w:szCs w:val="22"/>
              </w:rPr>
              <w:t>Rationale</w:t>
            </w:r>
          </w:p>
        </w:tc>
        <w:tc>
          <w:tcPr>
            <w:tcW w:w="7654" w:type="dxa"/>
            <w:shd w:val="clear" w:color="auto" w:fill="auto"/>
            <w:vAlign w:val="bottom"/>
          </w:tcPr>
          <w:p w14:paraId="52EB864B" w14:textId="77777777" w:rsidR="004527E0" w:rsidRDefault="004527E0" w:rsidP="0070252E">
            <w:pPr>
              <w:pStyle w:val="Header"/>
              <w:spacing w:before="60"/>
              <w:rPr>
                <w:rFonts w:cs="Arial"/>
                <w:color w:val="000000"/>
                <w:szCs w:val="22"/>
              </w:rPr>
            </w:pPr>
            <w:r w:rsidRPr="00FF2A4A">
              <w:rPr>
                <w:rFonts w:cs="Arial"/>
                <w:color w:val="000000"/>
                <w:szCs w:val="22"/>
              </w:rPr>
              <w:t>Sodium-glucose co-transporter 2 (SGLT-2) inhibitors</w:t>
            </w:r>
            <w:r>
              <w:rPr>
                <w:rFonts w:cs="Arial"/>
                <w:color w:val="000000"/>
                <w:szCs w:val="22"/>
              </w:rPr>
              <w:t xml:space="preserve"> such as </w:t>
            </w:r>
            <w:r w:rsidRPr="00FF2A4A">
              <w:rPr>
                <w:rFonts w:cs="Arial"/>
                <w:color w:val="000000"/>
                <w:szCs w:val="22"/>
              </w:rPr>
              <w:t xml:space="preserve">empagliflozin </w:t>
            </w:r>
            <w:r>
              <w:rPr>
                <w:rFonts w:cs="Arial"/>
                <w:color w:val="000000"/>
                <w:szCs w:val="22"/>
              </w:rPr>
              <w:t>are a</w:t>
            </w:r>
            <w:r w:rsidRPr="00FF2A4A">
              <w:rPr>
                <w:rFonts w:cs="Arial"/>
                <w:color w:val="000000"/>
                <w:szCs w:val="22"/>
              </w:rPr>
              <w:t>vailable</w:t>
            </w:r>
            <w:r>
              <w:rPr>
                <w:rFonts w:cs="Arial"/>
                <w:color w:val="000000"/>
                <w:szCs w:val="22"/>
              </w:rPr>
              <w:t xml:space="preserve"> since February 2021 and</w:t>
            </w:r>
            <w:r w:rsidRPr="00FF2A4A">
              <w:rPr>
                <w:rFonts w:cs="Arial"/>
                <w:color w:val="000000"/>
                <w:szCs w:val="22"/>
              </w:rPr>
              <w:t xml:space="preserve"> fully funded for the treatment of people </w:t>
            </w:r>
            <w:r w:rsidRPr="009238D5">
              <w:rPr>
                <w:rFonts w:cs="Arial"/>
                <w:color w:val="000000"/>
                <w:szCs w:val="22"/>
              </w:rPr>
              <w:t>with poorly controlled type 2 diabetes despite treatment who are at high</w:t>
            </w:r>
            <w:r w:rsidRPr="00FF2A4A">
              <w:rPr>
                <w:rFonts w:cs="Arial"/>
                <w:color w:val="000000"/>
                <w:szCs w:val="22"/>
              </w:rPr>
              <w:t xml:space="preserve"> risk of cardiovascular disease or have renal complications</w:t>
            </w:r>
            <w:r>
              <w:rPr>
                <w:rFonts w:cs="Arial"/>
                <w:color w:val="000000"/>
                <w:szCs w:val="22"/>
              </w:rPr>
              <w:t xml:space="preserve">. </w:t>
            </w:r>
          </w:p>
          <w:p w14:paraId="308BD07A" w14:textId="77777777" w:rsidR="004527E0" w:rsidRPr="00D42C24" w:rsidRDefault="004527E0" w:rsidP="0070252E">
            <w:pPr>
              <w:pStyle w:val="Header"/>
              <w:spacing w:before="60"/>
              <w:rPr>
                <w:rFonts w:cs="Arial"/>
                <w:color w:val="000000"/>
                <w:szCs w:val="22"/>
              </w:rPr>
            </w:pPr>
            <w:r>
              <w:rPr>
                <w:rFonts w:cs="Arial"/>
                <w:color w:val="000000"/>
                <w:szCs w:val="22"/>
              </w:rPr>
              <w:t xml:space="preserve">Understanding variation in dispensing these newer medicines </w:t>
            </w:r>
            <w:r w:rsidRPr="00BD40B6">
              <w:rPr>
                <w:rFonts w:cs="Arial"/>
                <w:color w:val="000000"/>
                <w:szCs w:val="22"/>
              </w:rPr>
              <w:t>is important for optimi</w:t>
            </w:r>
            <w:r>
              <w:rPr>
                <w:rFonts w:cs="Arial"/>
                <w:color w:val="000000"/>
                <w:szCs w:val="22"/>
              </w:rPr>
              <w:t>s</w:t>
            </w:r>
            <w:r w:rsidRPr="00BD40B6">
              <w:rPr>
                <w:rFonts w:cs="Arial"/>
                <w:color w:val="000000"/>
                <w:szCs w:val="22"/>
              </w:rPr>
              <w:t xml:space="preserve">ing diabetes care and ensuring that patients receive the most appropriate treatments. </w:t>
            </w:r>
          </w:p>
        </w:tc>
      </w:tr>
      <w:tr w:rsidR="004527E0" w:rsidRPr="00D42C24" w14:paraId="33810FC2" w14:textId="77777777" w:rsidTr="0070252E">
        <w:trPr>
          <w:trHeight w:val="327"/>
        </w:trPr>
        <w:tc>
          <w:tcPr>
            <w:tcW w:w="1668" w:type="dxa"/>
            <w:shd w:val="clear" w:color="auto" w:fill="auto"/>
          </w:tcPr>
          <w:p w14:paraId="174C6888" w14:textId="77777777" w:rsidR="004527E0" w:rsidRDefault="004527E0" w:rsidP="0070252E">
            <w:pPr>
              <w:pStyle w:val="Header"/>
              <w:spacing w:before="60"/>
              <w:rPr>
                <w:rFonts w:cs="Arial"/>
                <w:szCs w:val="22"/>
              </w:rPr>
            </w:pPr>
            <w:r w:rsidRPr="00FD6AEC">
              <w:rPr>
                <w:rFonts w:cs="Arial"/>
                <w:szCs w:val="22"/>
              </w:rPr>
              <w:t>Commentary</w:t>
            </w:r>
          </w:p>
        </w:tc>
        <w:tc>
          <w:tcPr>
            <w:tcW w:w="7654" w:type="dxa"/>
            <w:shd w:val="clear" w:color="auto" w:fill="auto"/>
            <w:vAlign w:val="bottom"/>
          </w:tcPr>
          <w:p w14:paraId="6952E3EC" w14:textId="77777777" w:rsidR="004527E0" w:rsidRPr="00FD6AEC" w:rsidRDefault="004527E0" w:rsidP="0070252E">
            <w:pPr>
              <w:spacing w:before="60"/>
              <w:rPr>
                <w:rFonts w:cs="Arial"/>
                <w:color w:val="000000"/>
              </w:rPr>
            </w:pPr>
            <w:r w:rsidRPr="00FD6AEC">
              <w:rPr>
                <w:rFonts w:cs="Arial"/>
                <w:color w:val="000000"/>
              </w:rPr>
              <w:t xml:space="preserve">Description: </w:t>
            </w:r>
          </w:p>
          <w:p w14:paraId="2BFECF9E" w14:textId="77777777" w:rsidR="004527E0" w:rsidRPr="00FD6AEC" w:rsidRDefault="004527E0" w:rsidP="0070252E">
            <w:pPr>
              <w:pStyle w:val="Header"/>
              <w:spacing w:before="60"/>
              <w:rPr>
                <w:rFonts w:cs="Arial"/>
              </w:rPr>
            </w:pPr>
            <w:r w:rsidRPr="00FD6AEC">
              <w:rPr>
                <w:rFonts w:cs="Arial"/>
              </w:rPr>
              <w:t xml:space="preserve">This indicator shows the number and percent of people with diabetes receiving empagliflozin regularly. Regular use was defined as </w:t>
            </w:r>
            <w:r>
              <w:rPr>
                <w:rFonts w:cs="Arial"/>
                <w:color w:val="000000"/>
                <w:szCs w:val="22"/>
              </w:rPr>
              <w:t>empagliflozin</w:t>
            </w:r>
            <w:r w:rsidRPr="00FD6AEC">
              <w:rPr>
                <w:rFonts w:cs="Arial"/>
              </w:rPr>
              <w:t xml:space="preserve"> dispensed in three or more quarters in a year.</w:t>
            </w:r>
          </w:p>
          <w:p w14:paraId="696FB60A" w14:textId="77777777" w:rsidR="004527E0" w:rsidRPr="00FD6AEC" w:rsidRDefault="004527E0" w:rsidP="0070252E">
            <w:pPr>
              <w:spacing w:before="240"/>
              <w:rPr>
                <w:rFonts w:cs="Arial"/>
                <w:color w:val="000000"/>
              </w:rPr>
            </w:pPr>
            <w:r w:rsidRPr="00FD6AEC">
              <w:rPr>
                <w:rFonts w:cs="Arial"/>
                <w:color w:val="000000"/>
              </w:rPr>
              <w:t>Why is this indicator important?</w:t>
            </w:r>
          </w:p>
          <w:p w14:paraId="7DA78F12" w14:textId="77777777" w:rsidR="004527E0" w:rsidRPr="00FD6AEC" w:rsidRDefault="004527E0" w:rsidP="0070252E">
            <w:pPr>
              <w:pStyle w:val="Header"/>
              <w:spacing w:before="60"/>
              <w:rPr>
                <w:rFonts w:cs="Arial"/>
                <w:color w:val="000000"/>
                <w:szCs w:val="22"/>
              </w:rPr>
            </w:pPr>
            <w:r w:rsidRPr="00FD6AEC">
              <w:rPr>
                <w:rFonts w:cs="Arial"/>
                <w:color w:val="000000"/>
                <w:szCs w:val="22"/>
              </w:rPr>
              <w:t xml:space="preserve">Sodium-glucose co-transporter 2 (SGLT-2) inhibitors such as empagliflozin are available since February 2021 and fully funded for the treatment of people with poorly controlled type 2 diabetes despite treatment who are at high risk of cardiovascular disease or have renal complications. </w:t>
            </w:r>
          </w:p>
          <w:p w14:paraId="2028A5E5" w14:textId="77777777" w:rsidR="004527E0" w:rsidRPr="00FD6AEC" w:rsidRDefault="004527E0" w:rsidP="0070252E">
            <w:pPr>
              <w:spacing w:before="60"/>
              <w:rPr>
                <w:rFonts w:cs="Arial"/>
                <w:color w:val="000000"/>
              </w:rPr>
            </w:pPr>
            <w:r w:rsidRPr="00FD6AEC">
              <w:rPr>
                <w:rFonts w:cs="Arial"/>
                <w:color w:val="000000"/>
              </w:rPr>
              <w:t xml:space="preserve">Understanding variation in dispensing these newer </w:t>
            </w:r>
            <w:r>
              <w:rPr>
                <w:rFonts w:cs="Arial"/>
                <w:color w:val="000000"/>
              </w:rPr>
              <w:t>medicines</w:t>
            </w:r>
            <w:r w:rsidRPr="00FD6AEC">
              <w:rPr>
                <w:rFonts w:cs="Arial"/>
                <w:color w:val="000000"/>
              </w:rPr>
              <w:t xml:space="preserve"> is important for </w:t>
            </w:r>
            <w:r>
              <w:rPr>
                <w:rFonts w:cs="Arial"/>
                <w:color w:val="000000"/>
              </w:rPr>
              <w:t>optimising</w:t>
            </w:r>
            <w:r w:rsidRPr="00FD6AEC">
              <w:rPr>
                <w:rFonts w:cs="Arial"/>
                <w:color w:val="000000"/>
              </w:rPr>
              <w:t xml:space="preserve"> diabetes care and ensuring that patients receive the most appropriate treatments.</w:t>
            </w:r>
          </w:p>
          <w:p w14:paraId="5270FB83" w14:textId="77777777" w:rsidR="004527E0" w:rsidRPr="00FD6AEC" w:rsidRDefault="004527E0" w:rsidP="0070252E">
            <w:pPr>
              <w:spacing w:before="240"/>
              <w:rPr>
                <w:rFonts w:cs="Arial"/>
                <w:color w:val="000000"/>
              </w:rPr>
            </w:pPr>
            <w:r w:rsidRPr="00FD6AEC">
              <w:rPr>
                <w:rFonts w:cs="Arial"/>
                <w:color w:val="000000"/>
              </w:rPr>
              <w:t>What questions does this prompt?</w:t>
            </w:r>
          </w:p>
          <w:p w14:paraId="536DA8B4" w14:textId="6D76BC12" w:rsidR="004527E0" w:rsidRPr="00FD6AEC" w:rsidRDefault="004527E0" w:rsidP="0070252E">
            <w:pPr>
              <w:pStyle w:val="ListParagraph"/>
              <w:numPr>
                <w:ilvl w:val="0"/>
                <w:numId w:val="4"/>
              </w:numPr>
              <w:spacing w:before="60" w:after="60"/>
              <w:contextualSpacing w:val="0"/>
              <w:rPr>
                <w:color w:val="000000"/>
              </w:rPr>
            </w:pPr>
            <w:r w:rsidRPr="00FD6AEC">
              <w:rPr>
                <w:color w:val="000000"/>
              </w:rPr>
              <w:t xml:space="preserve">How </w:t>
            </w:r>
            <w:r w:rsidR="00203E60">
              <w:rPr>
                <w:color w:val="000000"/>
              </w:rPr>
              <w:t>do</w:t>
            </w:r>
            <w:r w:rsidRPr="00FD6AEC">
              <w:rPr>
                <w:color w:val="000000"/>
              </w:rPr>
              <w:t xml:space="preserve"> districts with similar ethnic composition compare?</w:t>
            </w:r>
          </w:p>
          <w:p w14:paraId="30EDF29C" w14:textId="77777777" w:rsidR="004527E0" w:rsidRPr="00653FE2" w:rsidRDefault="004527E0" w:rsidP="0070252E">
            <w:pPr>
              <w:pStyle w:val="Header"/>
              <w:numPr>
                <w:ilvl w:val="0"/>
                <w:numId w:val="4"/>
              </w:numPr>
              <w:spacing w:before="60"/>
              <w:rPr>
                <w:rFonts w:cs="Arial"/>
                <w:color w:val="000000"/>
                <w:szCs w:val="22"/>
              </w:rPr>
            </w:pPr>
            <w:r w:rsidRPr="00FD6AEC">
              <w:rPr>
                <w:rFonts w:cs="Arial"/>
                <w:color w:val="000000"/>
                <w:szCs w:val="22"/>
              </w:rPr>
              <w:t>How do PHOs with similar populations compare?</w:t>
            </w:r>
          </w:p>
        </w:tc>
      </w:tr>
    </w:tbl>
    <w:p w14:paraId="79464B15" w14:textId="77777777" w:rsidR="004527E0" w:rsidRDefault="004527E0" w:rsidP="004527E0">
      <w:pPr>
        <w:rPr>
          <w:rFonts w:cs="Arial"/>
          <w:szCs w:val="22"/>
        </w:rPr>
      </w:pPr>
    </w:p>
    <w:tbl>
      <w:tblPr>
        <w:tblW w:w="932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A0" w:firstRow="1" w:lastRow="0" w:firstColumn="1" w:lastColumn="0" w:noHBand="0" w:noVBand="0"/>
      </w:tblPr>
      <w:tblGrid>
        <w:gridCol w:w="1668"/>
        <w:gridCol w:w="7654"/>
      </w:tblGrid>
      <w:tr w:rsidR="004527E0" w:rsidRPr="00753940" w14:paraId="104AC970" w14:textId="77777777" w:rsidTr="0070252E">
        <w:trPr>
          <w:trHeight w:val="327"/>
        </w:trPr>
        <w:tc>
          <w:tcPr>
            <w:tcW w:w="1668" w:type="dxa"/>
            <w:shd w:val="clear" w:color="auto" w:fill="auto"/>
          </w:tcPr>
          <w:p w14:paraId="18BB5B05" w14:textId="7FBF0FE1" w:rsidR="004527E0" w:rsidRPr="004527E0" w:rsidRDefault="004527E0" w:rsidP="0070252E">
            <w:pPr>
              <w:pStyle w:val="Header"/>
              <w:spacing w:before="60"/>
              <w:rPr>
                <w:rFonts w:cs="Arial"/>
                <w:b/>
                <w:bCs/>
                <w:szCs w:val="22"/>
              </w:rPr>
            </w:pPr>
            <w:r w:rsidRPr="004527E0">
              <w:rPr>
                <w:rFonts w:cs="Arial"/>
                <w:b/>
                <w:bCs/>
                <w:szCs w:val="22"/>
              </w:rPr>
              <w:t>Indicator #</w:t>
            </w:r>
            <w:r w:rsidRPr="004527E0">
              <w:rPr>
                <w:rFonts w:cs="Arial"/>
                <w:b/>
                <w:bCs/>
                <w:szCs w:val="22"/>
              </w:rPr>
              <w:t>5</w:t>
            </w:r>
            <w:r>
              <w:rPr>
                <w:rFonts w:cs="Arial"/>
                <w:b/>
                <w:bCs/>
                <w:szCs w:val="22"/>
              </w:rPr>
              <w:t>:</w:t>
            </w:r>
          </w:p>
        </w:tc>
        <w:tc>
          <w:tcPr>
            <w:tcW w:w="7654" w:type="dxa"/>
            <w:shd w:val="clear" w:color="auto" w:fill="auto"/>
            <w:vAlign w:val="bottom"/>
          </w:tcPr>
          <w:p w14:paraId="669F81FE" w14:textId="77777777" w:rsidR="004527E0" w:rsidRPr="00753940" w:rsidRDefault="004527E0" w:rsidP="0070252E">
            <w:pPr>
              <w:pStyle w:val="Header"/>
              <w:spacing w:before="60"/>
              <w:rPr>
                <w:rFonts w:cs="Arial"/>
                <w:color w:val="000000"/>
                <w:szCs w:val="22"/>
              </w:rPr>
            </w:pPr>
            <w:r>
              <w:rPr>
                <w:rFonts w:cs="Arial"/>
                <w:color w:val="000000"/>
                <w:szCs w:val="22"/>
              </w:rPr>
              <w:t>People with diabetes regularly receiving d</w:t>
            </w:r>
            <w:r w:rsidRPr="00FF2A4A">
              <w:rPr>
                <w:rFonts w:cs="Arial"/>
                <w:color w:val="000000"/>
                <w:szCs w:val="22"/>
              </w:rPr>
              <w:t>ulaglutide</w:t>
            </w:r>
          </w:p>
        </w:tc>
      </w:tr>
      <w:tr w:rsidR="004527E0" w:rsidRPr="00D42C24" w14:paraId="72567D73" w14:textId="77777777" w:rsidTr="0070252E">
        <w:trPr>
          <w:trHeight w:val="327"/>
        </w:trPr>
        <w:tc>
          <w:tcPr>
            <w:tcW w:w="1668" w:type="dxa"/>
            <w:shd w:val="clear" w:color="auto" w:fill="auto"/>
          </w:tcPr>
          <w:p w14:paraId="201E9133" w14:textId="77777777" w:rsidR="004527E0" w:rsidRPr="00D42C24" w:rsidRDefault="004527E0" w:rsidP="0070252E">
            <w:pPr>
              <w:pStyle w:val="Header"/>
              <w:spacing w:before="60"/>
              <w:rPr>
                <w:rFonts w:cs="Arial"/>
                <w:szCs w:val="22"/>
              </w:rPr>
            </w:pPr>
            <w:r>
              <w:rPr>
                <w:rFonts w:cs="Arial"/>
                <w:szCs w:val="22"/>
              </w:rPr>
              <w:t>Numerator</w:t>
            </w:r>
          </w:p>
        </w:tc>
        <w:tc>
          <w:tcPr>
            <w:tcW w:w="7654" w:type="dxa"/>
            <w:shd w:val="clear" w:color="auto" w:fill="auto"/>
            <w:vAlign w:val="bottom"/>
          </w:tcPr>
          <w:p w14:paraId="4FB51E41" w14:textId="77777777" w:rsidR="004527E0" w:rsidRPr="00D42C24" w:rsidRDefault="004527E0" w:rsidP="0070252E">
            <w:pPr>
              <w:pStyle w:val="Header"/>
              <w:spacing w:before="60"/>
              <w:rPr>
                <w:rFonts w:cs="Arial"/>
                <w:color w:val="000000"/>
                <w:szCs w:val="22"/>
              </w:rPr>
            </w:pPr>
            <w:r>
              <w:rPr>
                <w:rFonts w:cs="Arial"/>
                <w:color w:val="000000"/>
                <w:szCs w:val="22"/>
              </w:rPr>
              <w:t>People with diabetes dispensed d</w:t>
            </w:r>
            <w:r w:rsidRPr="00FF2A4A">
              <w:rPr>
                <w:rFonts w:cs="Arial"/>
                <w:color w:val="000000"/>
                <w:szCs w:val="22"/>
              </w:rPr>
              <w:t>ulaglutide</w:t>
            </w:r>
            <w:r w:rsidRPr="00753940">
              <w:rPr>
                <w:rFonts w:cs="Arial"/>
                <w:color w:val="000000"/>
                <w:szCs w:val="22"/>
              </w:rPr>
              <w:t xml:space="preserve"> in three or four quarters in the relevant year</w:t>
            </w:r>
          </w:p>
        </w:tc>
      </w:tr>
      <w:tr w:rsidR="004527E0" w:rsidRPr="00753940" w14:paraId="7A820EAE" w14:textId="77777777" w:rsidTr="0070252E">
        <w:trPr>
          <w:trHeight w:val="327"/>
        </w:trPr>
        <w:tc>
          <w:tcPr>
            <w:tcW w:w="1668" w:type="dxa"/>
            <w:shd w:val="clear" w:color="auto" w:fill="auto"/>
          </w:tcPr>
          <w:p w14:paraId="7B179CCF" w14:textId="77777777" w:rsidR="004527E0" w:rsidRPr="00D42C24" w:rsidRDefault="004527E0" w:rsidP="0070252E">
            <w:pPr>
              <w:pStyle w:val="Header"/>
              <w:spacing w:before="60"/>
              <w:rPr>
                <w:rFonts w:cs="Arial"/>
                <w:szCs w:val="22"/>
              </w:rPr>
            </w:pPr>
            <w:r w:rsidRPr="00D42C24">
              <w:rPr>
                <w:rFonts w:cs="Arial"/>
                <w:szCs w:val="22"/>
              </w:rPr>
              <w:t>Denominator</w:t>
            </w:r>
          </w:p>
        </w:tc>
        <w:tc>
          <w:tcPr>
            <w:tcW w:w="7654" w:type="dxa"/>
            <w:shd w:val="clear" w:color="auto" w:fill="auto"/>
            <w:vAlign w:val="bottom"/>
          </w:tcPr>
          <w:p w14:paraId="53E7B11A" w14:textId="77777777" w:rsidR="004527E0" w:rsidRPr="00753940" w:rsidRDefault="004527E0" w:rsidP="0070252E">
            <w:pPr>
              <w:pStyle w:val="Header"/>
              <w:spacing w:before="60"/>
              <w:rPr>
                <w:rFonts w:cs="Arial"/>
                <w:color w:val="000000"/>
                <w:szCs w:val="22"/>
              </w:rPr>
            </w:pPr>
            <w:r w:rsidRPr="00753940">
              <w:rPr>
                <w:rFonts w:cs="Arial"/>
                <w:color w:val="000000"/>
                <w:szCs w:val="22"/>
              </w:rPr>
              <w:t>Count of distinct master NHIs</w:t>
            </w:r>
            <w:r w:rsidRPr="00753940" w:rsidDel="00114E54">
              <w:rPr>
                <w:rFonts w:cs="Arial"/>
                <w:color w:val="000000"/>
                <w:szCs w:val="22"/>
              </w:rPr>
              <w:t xml:space="preserve"> </w:t>
            </w:r>
            <w:r w:rsidRPr="00753940">
              <w:rPr>
                <w:rFonts w:cs="Arial"/>
                <w:color w:val="000000"/>
                <w:szCs w:val="22"/>
              </w:rPr>
              <w:t>identified as having diabetes as per the VDR</w:t>
            </w:r>
          </w:p>
        </w:tc>
      </w:tr>
      <w:tr w:rsidR="004527E0" w:rsidRPr="00753940" w14:paraId="2DB974E3" w14:textId="77777777" w:rsidTr="0070252E">
        <w:trPr>
          <w:trHeight w:val="327"/>
        </w:trPr>
        <w:tc>
          <w:tcPr>
            <w:tcW w:w="1668" w:type="dxa"/>
            <w:shd w:val="clear" w:color="auto" w:fill="auto"/>
          </w:tcPr>
          <w:p w14:paraId="6A7A1A0D" w14:textId="77777777" w:rsidR="004527E0" w:rsidRPr="00D42C24" w:rsidRDefault="004527E0" w:rsidP="0070252E">
            <w:pPr>
              <w:pStyle w:val="Header"/>
              <w:spacing w:before="60"/>
              <w:rPr>
                <w:rFonts w:cs="Arial"/>
                <w:szCs w:val="22"/>
              </w:rPr>
            </w:pPr>
            <w:r>
              <w:rPr>
                <w:rFonts w:cs="Arial"/>
                <w:szCs w:val="22"/>
              </w:rPr>
              <w:t>By variables</w:t>
            </w:r>
          </w:p>
        </w:tc>
        <w:tc>
          <w:tcPr>
            <w:tcW w:w="7654" w:type="dxa"/>
            <w:shd w:val="clear" w:color="auto" w:fill="auto"/>
            <w:vAlign w:val="bottom"/>
          </w:tcPr>
          <w:p w14:paraId="694653D7" w14:textId="77777777" w:rsidR="004527E0" w:rsidRDefault="004527E0" w:rsidP="0070252E">
            <w:pPr>
              <w:pStyle w:val="Header"/>
              <w:spacing w:before="60"/>
            </w:pPr>
            <w:r>
              <w:t xml:space="preserve">For single map analysis: By year (2018‒22), age group (0‒14 years, 15‒24 years, 25‒44 years, 45‒64 years, 65‒74 years and 75+ years), gender (female and male), ethnic group (Māori, Pacific peoples, Indian and European/other) and Health New Zealand district of domicile. </w:t>
            </w:r>
          </w:p>
          <w:p w14:paraId="4A0B4741" w14:textId="77777777" w:rsidR="004527E0" w:rsidRPr="00753940" w:rsidRDefault="004527E0" w:rsidP="0070252E">
            <w:pPr>
              <w:pStyle w:val="Header"/>
              <w:spacing w:before="60"/>
              <w:rPr>
                <w:rFonts w:cs="Arial"/>
                <w:color w:val="000000"/>
                <w:szCs w:val="22"/>
              </w:rPr>
            </w:pPr>
            <w:r>
              <w:t xml:space="preserve">For PHO analysis: By year (2022), age group (0‒14 years, 15‒24 years, 25‒44 years, 45‒64 years, 65‒74 years and 75+ years), gender (female </w:t>
            </w:r>
            <w:r>
              <w:lastRenderedPageBreak/>
              <w:t>and male), ethnic group (Māori, Pacific peoples, Indian and European/other), PHO most recently enrolled with (for the relevant year), PHO group (small, medium, medium‒large and large).</w:t>
            </w:r>
          </w:p>
        </w:tc>
      </w:tr>
      <w:tr w:rsidR="004527E0" w:rsidRPr="00753940" w14:paraId="5259502C" w14:textId="77777777" w:rsidTr="0070252E">
        <w:trPr>
          <w:trHeight w:val="327"/>
        </w:trPr>
        <w:tc>
          <w:tcPr>
            <w:tcW w:w="1668" w:type="dxa"/>
            <w:shd w:val="clear" w:color="auto" w:fill="auto"/>
          </w:tcPr>
          <w:p w14:paraId="3EC5EE00" w14:textId="77777777" w:rsidR="004527E0" w:rsidRPr="00D42C24" w:rsidRDefault="004527E0" w:rsidP="0070252E">
            <w:pPr>
              <w:pStyle w:val="Header"/>
              <w:spacing w:before="60"/>
              <w:rPr>
                <w:rFonts w:cs="Arial"/>
                <w:szCs w:val="22"/>
              </w:rPr>
            </w:pPr>
            <w:r>
              <w:rPr>
                <w:rFonts w:cs="Arial"/>
                <w:szCs w:val="22"/>
              </w:rPr>
              <w:lastRenderedPageBreak/>
              <w:t>Data source</w:t>
            </w:r>
          </w:p>
        </w:tc>
        <w:tc>
          <w:tcPr>
            <w:tcW w:w="7654" w:type="dxa"/>
            <w:shd w:val="clear" w:color="auto" w:fill="auto"/>
            <w:vAlign w:val="bottom"/>
          </w:tcPr>
          <w:p w14:paraId="4A483F0E" w14:textId="77777777" w:rsidR="004527E0" w:rsidRPr="00753940" w:rsidRDefault="004527E0" w:rsidP="0070252E">
            <w:pPr>
              <w:pStyle w:val="Header"/>
              <w:spacing w:before="60"/>
              <w:rPr>
                <w:rFonts w:cs="Arial"/>
                <w:color w:val="000000"/>
                <w:szCs w:val="22"/>
              </w:rPr>
            </w:pPr>
            <w:r w:rsidRPr="00753940">
              <w:rPr>
                <w:rFonts w:cs="Arial"/>
                <w:color w:val="000000"/>
                <w:szCs w:val="22"/>
              </w:rPr>
              <w:t>Pharmaceutical Collection</w:t>
            </w:r>
          </w:p>
          <w:p w14:paraId="50A7D9BF" w14:textId="77777777" w:rsidR="004527E0" w:rsidRPr="00753940" w:rsidRDefault="004527E0" w:rsidP="0070252E">
            <w:pPr>
              <w:pStyle w:val="Header"/>
              <w:spacing w:before="60"/>
              <w:rPr>
                <w:rFonts w:cs="Arial"/>
                <w:color w:val="000000"/>
                <w:szCs w:val="22"/>
              </w:rPr>
            </w:pPr>
            <w:r w:rsidRPr="00753940">
              <w:rPr>
                <w:rFonts w:cs="Arial"/>
                <w:color w:val="000000"/>
                <w:szCs w:val="22"/>
              </w:rPr>
              <w:t xml:space="preserve">VDR </w:t>
            </w:r>
          </w:p>
        </w:tc>
      </w:tr>
      <w:tr w:rsidR="004527E0" w:rsidRPr="00753940" w14:paraId="3E973801" w14:textId="77777777" w:rsidTr="0070252E">
        <w:trPr>
          <w:trHeight w:val="327"/>
        </w:trPr>
        <w:tc>
          <w:tcPr>
            <w:tcW w:w="1668" w:type="dxa"/>
            <w:shd w:val="clear" w:color="auto" w:fill="auto"/>
          </w:tcPr>
          <w:p w14:paraId="47659561" w14:textId="77777777" w:rsidR="004527E0" w:rsidRDefault="004527E0" w:rsidP="0070252E">
            <w:pPr>
              <w:pStyle w:val="Header"/>
              <w:spacing w:before="60"/>
              <w:rPr>
                <w:rFonts w:cs="Arial"/>
                <w:szCs w:val="22"/>
              </w:rPr>
            </w:pPr>
            <w:r>
              <w:rPr>
                <w:rFonts w:cs="Arial"/>
                <w:szCs w:val="22"/>
              </w:rPr>
              <w:t>Code</w:t>
            </w:r>
          </w:p>
        </w:tc>
        <w:tc>
          <w:tcPr>
            <w:tcW w:w="7654" w:type="dxa"/>
            <w:shd w:val="clear" w:color="auto" w:fill="auto"/>
            <w:vAlign w:val="bottom"/>
          </w:tcPr>
          <w:p w14:paraId="1F208B93" w14:textId="194B2027" w:rsidR="004527E0" w:rsidRPr="00753940" w:rsidRDefault="004527E0" w:rsidP="0070252E">
            <w:pPr>
              <w:spacing w:before="60"/>
              <w:rPr>
                <w:rFonts w:cs="Arial"/>
                <w:color w:val="000000"/>
                <w:szCs w:val="22"/>
              </w:rPr>
            </w:pPr>
            <w:r w:rsidRPr="00B51C5F">
              <w:rPr>
                <w:rFonts w:cs="Arial"/>
                <w:color w:val="000000"/>
                <w:szCs w:val="22"/>
              </w:rPr>
              <w:t>414925</w:t>
            </w:r>
            <w:r>
              <w:rPr>
                <w:rFonts w:cs="Arial"/>
                <w:color w:val="000000"/>
                <w:szCs w:val="22"/>
              </w:rPr>
              <w:t xml:space="preserve"> </w:t>
            </w:r>
            <w:r>
              <w:rPr>
                <w:rFonts w:cs="Arial"/>
                <w:color w:val="000000"/>
                <w:szCs w:val="22"/>
              </w:rPr>
              <w:t>d</w:t>
            </w:r>
            <w:r>
              <w:rPr>
                <w:rFonts w:cs="Arial"/>
                <w:color w:val="000000"/>
                <w:szCs w:val="22"/>
              </w:rPr>
              <w:t>ulaglutide</w:t>
            </w:r>
          </w:p>
        </w:tc>
      </w:tr>
      <w:tr w:rsidR="004527E0" w:rsidRPr="00D42C24" w14:paraId="30FF0E3E" w14:textId="77777777" w:rsidTr="0070252E">
        <w:trPr>
          <w:trHeight w:val="327"/>
        </w:trPr>
        <w:tc>
          <w:tcPr>
            <w:tcW w:w="1668" w:type="dxa"/>
            <w:shd w:val="clear" w:color="auto" w:fill="auto"/>
          </w:tcPr>
          <w:p w14:paraId="4A4C61A5" w14:textId="77777777" w:rsidR="004527E0" w:rsidRPr="00D42C24" w:rsidRDefault="004527E0" w:rsidP="0070252E">
            <w:pPr>
              <w:pStyle w:val="Header"/>
              <w:spacing w:before="60"/>
              <w:rPr>
                <w:rFonts w:cs="Arial"/>
                <w:szCs w:val="22"/>
              </w:rPr>
            </w:pPr>
            <w:r>
              <w:rPr>
                <w:rFonts w:cs="Arial"/>
                <w:szCs w:val="22"/>
              </w:rPr>
              <w:t>Rationale</w:t>
            </w:r>
          </w:p>
        </w:tc>
        <w:tc>
          <w:tcPr>
            <w:tcW w:w="7654" w:type="dxa"/>
            <w:shd w:val="clear" w:color="auto" w:fill="auto"/>
            <w:vAlign w:val="bottom"/>
          </w:tcPr>
          <w:p w14:paraId="6F4AC444" w14:textId="77777777" w:rsidR="004527E0" w:rsidRDefault="004527E0" w:rsidP="0070252E">
            <w:pPr>
              <w:pStyle w:val="Header"/>
              <w:spacing w:before="60"/>
              <w:rPr>
                <w:rFonts w:cs="Arial"/>
                <w:color w:val="000000"/>
                <w:szCs w:val="22"/>
              </w:rPr>
            </w:pPr>
            <w:r>
              <w:rPr>
                <w:rFonts w:cs="Arial"/>
                <w:color w:val="000000"/>
                <w:szCs w:val="22"/>
              </w:rPr>
              <w:t>Gl</w:t>
            </w:r>
            <w:r w:rsidRPr="00FF2A4A">
              <w:rPr>
                <w:rFonts w:cs="Arial"/>
                <w:color w:val="000000"/>
                <w:szCs w:val="22"/>
              </w:rPr>
              <w:t>ucagon-like peptide-1 (GLP-1) receptor agonists</w:t>
            </w:r>
            <w:r>
              <w:rPr>
                <w:rFonts w:cs="Arial"/>
                <w:color w:val="000000"/>
                <w:szCs w:val="22"/>
              </w:rPr>
              <w:t xml:space="preserve"> such as d</w:t>
            </w:r>
            <w:r w:rsidRPr="00FF2A4A">
              <w:rPr>
                <w:rFonts w:cs="Arial"/>
                <w:color w:val="000000"/>
                <w:szCs w:val="22"/>
              </w:rPr>
              <w:t xml:space="preserve">ulaglutide </w:t>
            </w:r>
            <w:r>
              <w:rPr>
                <w:rFonts w:cs="Arial"/>
                <w:color w:val="000000"/>
                <w:szCs w:val="22"/>
              </w:rPr>
              <w:t xml:space="preserve">are available since September 2021 and </w:t>
            </w:r>
            <w:r w:rsidRPr="00FF2A4A">
              <w:rPr>
                <w:rFonts w:cs="Arial"/>
                <w:color w:val="000000"/>
                <w:szCs w:val="22"/>
              </w:rPr>
              <w:t>fully funded for the treatment of people with</w:t>
            </w:r>
            <w:r w:rsidRPr="009238D5">
              <w:rPr>
                <w:rFonts w:cs="Arial"/>
                <w:color w:val="000000"/>
                <w:szCs w:val="22"/>
              </w:rPr>
              <w:t xml:space="preserve"> poorly controlled type 2 diabetes despite treatment who are at high</w:t>
            </w:r>
            <w:r w:rsidRPr="00FF2A4A">
              <w:rPr>
                <w:rFonts w:cs="Arial"/>
                <w:color w:val="000000"/>
                <w:szCs w:val="22"/>
              </w:rPr>
              <w:t xml:space="preserve"> risk of cardiovascular disease or have renal complications</w:t>
            </w:r>
            <w:r>
              <w:rPr>
                <w:rFonts w:cs="Arial"/>
                <w:color w:val="000000"/>
                <w:szCs w:val="22"/>
              </w:rPr>
              <w:t xml:space="preserve">. </w:t>
            </w:r>
          </w:p>
          <w:p w14:paraId="22584FED" w14:textId="77777777" w:rsidR="004527E0" w:rsidRPr="00D42C24" w:rsidRDefault="004527E0" w:rsidP="0070252E">
            <w:pPr>
              <w:pStyle w:val="Header"/>
              <w:spacing w:before="60"/>
              <w:rPr>
                <w:rFonts w:cs="Arial"/>
                <w:color w:val="000000"/>
                <w:szCs w:val="22"/>
              </w:rPr>
            </w:pPr>
            <w:r>
              <w:rPr>
                <w:rFonts w:cs="Arial"/>
                <w:color w:val="000000"/>
                <w:szCs w:val="22"/>
              </w:rPr>
              <w:t xml:space="preserve">Understanding variation in dispensing these newer medicines </w:t>
            </w:r>
            <w:r w:rsidRPr="00BD40B6">
              <w:rPr>
                <w:rFonts w:cs="Arial"/>
                <w:color w:val="000000"/>
                <w:szCs w:val="22"/>
              </w:rPr>
              <w:t xml:space="preserve">is important for </w:t>
            </w:r>
            <w:r>
              <w:rPr>
                <w:rFonts w:cs="Arial"/>
                <w:color w:val="000000"/>
                <w:szCs w:val="22"/>
              </w:rPr>
              <w:t>optimising</w:t>
            </w:r>
            <w:r w:rsidRPr="00BD40B6">
              <w:rPr>
                <w:rFonts w:cs="Arial"/>
                <w:color w:val="000000"/>
                <w:szCs w:val="22"/>
              </w:rPr>
              <w:t xml:space="preserve"> diabetes care and ensuring that patients receive the most appropriate treatments. </w:t>
            </w:r>
          </w:p>
        </w:tc>
      </w:tr>
      <w:tr w:rsidR="004527E0" w:rsidRPr="00D42C24" w14:paraId="2D9F6900" w14:textId="77777777" w:rsidTr="0070252E">
        <w:trPr>
          <w:trHeight w:val="327"/>
        </w:trPr>
        <w:tc>
          <w:tcPr>
            <w:tcW w:w="1668" w:type="dxa"/>
            <w:shd w:val="clear" w:color="auto" w:fill="auto"/>
          </w:tcPr>
          <w:p w14:paraId="43D21D84" w14:textId="77777777" w:rsidR="004527E0" w:rsidRDefault="004527E0" w:rsidP="0070252E">
            <w:pPr>
              <w:pStyle w:val="Header"/>
              <w:spacing w:before="60"/>
              <w:rPr>
                <w:rFonts w:cs="Arial"/>
                <w:szCs w:val="22"/>
              </w:rPr>
            </w:pPr>
            <w:r w:rsidRPr="00FD6AEC">
              <w:rPr>
                <w:rFonts w:cs="Arial"/>
                <w:szCs w:val="22"/>
              </w:rPr>
              <w:t>Commentary</w:t>
            </w:r>
          </w:p>
        </w:tc>
        <w:tc>
          <w:tcPr>
            <w:tcW w:w="7654" w:type="dxa"/>
            <w:shd w:val="clear" w:color="auto" w:fill="auto"/>
            <w:vAlign w:val="bottom"/>
          </w:tcPr>
          <w:p w14:paraId="6EC3253F" w14:textId="77777777" w:rsidR="004527E0" w:rsidRPr="00FD6AEC" w:rsidRDefault="004527E0" w:rsidP="0070252E">
            <w:pPr>
              <w:spacing w:before="60"/>
              <w:rPr>
                <w:rFonts w:cs="Arial"/>
                <w:color w:val="000000"/>
              </w:rPr>
            </w:pPr>
            <w:r w:rsidRPr="00FD6AEC">
              <w:rPr>
                <w:rFonts w:cs="Arial"/>
                <w:color w:val="000000"/>
              </w:rPr>
              <w:t xml:space="preserve">Description: </w:t>
            </w:r>
          </w:p>
          <w:p w14:paraId="4F78C8FD" w14:textId="77777777" w:rsidR="004527E0" w:rsidRPr="00FD6AEC" w:rsidRDefault="004527E0" w:rsidP="0070252E">
            <w:pPr>
              <w:pStyle w:val="Header"/>
              <w:spacing w:before="60"/>
              <w:rPr>
                <w:rFonts w:cs="Arial"/>
              </w:rPr>
            </w:pPr>
            <w:r w:rsidRPr="00FD6AEC">
              <w:rPr>
                <w:rFonts w:cs="Arial"/>
              </w:rPr>
              <w:t xml:space="preserve">This indicator shows the number and percent of people with diabetes receiving dulaglutide regularly. Regular use was defined as </w:t>
            </w:r>
            <w:r>
              <w:rPr>
                <w:rFonts w:cs="Arial"/>
                <w:color w:val="000000"/>
                <w:szCs w:val="22"/>
              </w:rPr>
              <w:t>d</w:t>
            </w:r>
            <w:r w:rsidRPr="00FF2A4A">
              <w:rPr>
                <w:rFonts w:cs="Arial"/>
                <w:color w:val="000000"/>
                <w:szCs w:val="22"/>
              </w:rPr>
              <w:t>ulaglutide</w:t>
            </w:r>
            <w:r w:rsidRPr="00FD6AEC">
              <w:rPr>
                <w:rFonts w:cs="Arial"/>
              </w:rPr>
              <w:t xml:space="preserve"> dispensed in three or more quarters in a year.</w:t>
            </w:r>
          </w:p>
          <w:p w14:paraId="67C36959" w14:textId="77777777" w:rsidR="004527E0" w:rsidRPr="00FD6AEC" w:rsidRDefault="004527E0" w:rsidP="0070252E">
            <w:pPr>
              <w:spacing w:before="240"/>
              <w:rPr>
                <w:rFonts w:cs="Arial"/>
                <w:color w:val="000000"/>
              </w:rPr>
            </w:pPr>
            <w:r w:rsidRPr="00FD6AEC">
              <w:rPr>
                <w:rFonts w:cs="Arial"/>
                <w:color w:val="000000"/>
              </w:rPr>
              <w:t>Why is this indicator important?</w:t>
            </w:r>
          </w:p>
          <w:p w14:paraId="4EAD7A8F" w14:textId="77777777" w:rsidR="004527E0" w:rsidRPr="00FD6AEC" w:rsidRDefault="004527E0" w:rsidP="0070252E">
            <w:pPr>
              <w:pStyle w:val="Header"/>
              <w:spacing w:before="60"/>
              <w:rPr>
                <w:rFonts w:cs="Arial"/>
                <w:color w:val="000000"/>
                <w:szCs w:val="22"/>
              </w:rPr>
            </w:pPr>
            <w:r w:rsidRPr="00FD6AEC">
              <w:rPr>
                <w:rFonts w:cs="Arial"/>
                <w:color w:val="000000"/>
                <w:szCs w:val="22"/>
              </w:rPr>
              <w:t xml:space="preserve">Glucagon-like peptide-1 (GLP-1) receptor agonists such as dulaglutide are available since September 2021 and fully funded for the treatment of people with poorly controlled type 2 diabetes despite treatment who are at high risk of cardiovascular disease or have renal complications. </w:t>
            </w:r>
          </w:p>
          <w:p w14:paraId="7043AA1F" w14:textId="77777777" w:rsidR="004527E0" w:rsidRPr="00FD6AEC" w:rsidRDefault="004527E0" w:rsidP="0070252E">
            <w:pPr>
              <w:spacing w:before="60"/>
              <w:rPr>
                <w:rFonts w:cs="Arial"/>
                <w:color w:val="000000"/>
              </w:rPr>
            </w:pPr>
            <w:r w:rsidRPr="00FD6AEC">
              <w:rPr>
                <w:rFonts w:cs="Arial"/>
                <w:color w:val="000000"/>
              </w:rPr>
              <w:t xml:space="preserve">Understanding variation in dispensing these newer </w:t>
            </w:r>
            <w:r>
              <w:rPr>
                <w:rFonts w:cs="Arial"/>
                <w:color w:val="000000"/>
              </w:rPr>
              <w:t>medicines</w:t>
            </w:r>
            <w:r w:rsidRPr="00FD6AEC">
              <w:rPr>
                <w:rFonts w:cs="Arial"/>
                <w:color w:val="000000"/>
              </w:rPr>
              <w:t xml:space="preserve"> is important for </w:t>
            </w:r>
            <w:r>
              <w:rPr>
                <w:rFonts w:cs="Arial"/>
                <w:color w:val="000000"/>
              </w:rPr>
              <w:t>optimising</w:t>
            </w:r>
            <w:r w:rsidRPr="00FD6AEC">
              <w:rPr>
                <w:rFonts w:cs="Arial"/>
                <w:color w:val="000000"/>
              </w:rPr>
              <w:t xml:space="preserve"> diabetes care and ensuring that patients receive the most appropriate treatments.</w:t>
            </w:r>
          </w:p>
          <w:p w14:paraId="6EE24FDC" w14:textId="77777777" w:rsidR="004527E0" w:rsidRPr="00FD6AEC" w:rsidRDefault="004527E0" w:rsidP="0070252E">
            <w:pPr>
              <w:spacing w:before="240"/>
              <w:rPr>
                <w:rFonts w:cs="Arial"/>
                <w:color w:val="000000"/>
              </w:rPr>
            </w:pPr>
            <w:r w:rsidRPr="00FD6AEC">
              <w:rPr>
                <w:rFonts w:cs="Arial"/>
                <w:color w:val="000000"/>
              </w:rPr>
              <w:t>What questions does this prompt?</w:t>
            </w:r>
          </w:p>
          <w:p w14:paraId="7B1E9AA3" w14:textId="1417765E" w:rsidR="004527E0" w:rsidRPr="00FD6AEC" w:rsidRDefault="004527E0" w:rsidP="0070252E">
            <w:pPr>
              <w:pStyle w:val="ListParagraph"/>
              <w:numPr>
                <w:ilvl w:val="0"/>
                <w:numId w:val="4"/>
              </w:numPr>
              <w:spacing w:before="60" w:after="60"/>
              <w:contextualSpacing w:val="0"/>
              <w:rPr>
                <w:color w:val="000000"/>
              </w:rPr>
            </w:pPr>
            <w:r w:rsidRPr="00FD6AEC">
              <w:rPr>
                <w:color w:val="000000"/>
              </w:rPr>
              <w:t xml:space="preserve">How </w:t>
            </w:r>
            <w:r w:rsidR="006B13BB">
              <w:rPr>
                <w:color w:val="000000"/>
              </w:rPr>
              <w:t>d</w:t>
            </w:r>
            <w:r w:rsidRPr="00FD6AEC">
              <w:rPr>
                <w:color w:val="000000"/>
              </w:rPr>
              <w:t>o districts with similar ethnic composition compare?</w:t>
            </w:r>
          </w:p>
          <w:p w14:paraId="601F58D2" w14:textId="77777777" w:rsidR="004527E0" w:rsidRDefault="004527E0" w:rsidP="0070252E">
            <w:pPr>
              <w:pStyle w:val="Header"/>
              <w:numPr>
                <w:ilvl w:val="0"/>
                <w:numId w:val="4"/>
              </w:numPr>
              <w:spacing w:before="60"/>
              <w:rPr>
                <w:rFonts w:cs="Arial"/>
                <w:color w:val="000000"/>
                <w:szCs w:val="22"/>
              </w:rPr>
            </w:pPr>
            <w:r w:rsidRPr="00FD6AEC">
              <w:rPr>
                <w:rFonts w:cs="Arial"/>
                <w:color w:val="000000"/>
                <w:szCs w:val="22"/>
              </w:rPr>
              <w:t>How do PHOs with similar populations compare?</w:t>
            </w:r>
          </w:p>
        </w:tc>
      </w:tr>
    </w:tbl>
    <w:p w14:paraId="74DB0803" w14:textId="77777777" w:rsidR="004527E0" w:rsidRDefault="004527E0" w:rsidP="0000087A">
      <w:pPr>
        <w:rPr>
          <w:rFonts w:cs="Arial"/>
          <w:szCs w:val="22"/>
        </w:rPr>
      </w:pPr>
    </w:p>
    <w:p w14:paraId="5C2A4FC4" w14:textId="77777777" w:rsidR="004527E0" w:rsidRDefault="004527E0" w:rsidP="0000087A">
      <w:pPr>
        <w:rPr>
          <w:rFonts w:cs="Arial"/>
          <w:szCs w:val="22"/>
        </w:rPr>
      </w:pPr>
    </w:p>
    <w:tbl>
      <w:tblPr>
        <w:tblW w:w="932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A0" w:firstRow="1" w:lastRow="0" w:firstColumn="1" w:lastColumn="0" w:noHBand="0" w:noVBand="0"/>
      </w:tblPr>
      <w:tblGrid>
        <w:gridCol w:w="1668"/>
        <w:gridCol w:w="7654"/>
      </w:tblGrid>
      <w:tr w:rsidR="00AC2BAC" w:rsidRPr="00D42C24" w14:paraId="48FCBF3E" w14:textId="77777777" w:rsidTr="000F18B7">
        <w:trPr>
          <w:trHeight w:val="327"/>
        </w:trPr>
        <w:tc>
          <w:tcPr>
            <w:tcW w:w="1668" w:type="dxa"/>
            <w:shd w:val="clear" w:color="auto" w:fill="auto"/>
          </w:tcPr>
          <w:p w14:paraId="5DEBCC3F" w14:textId="41049EDF" w:rsidR="00AC2BAC" w:rsidRPr="00D42C24" w:rsidRDefault="00AC2BAC" w:rsidP="00773C1D">
            <w:pPr>
              <w:pStyle w:val="Header"/>
              <w:spacing w:before="60"/>
              <w:rPr>
                <w:rFonts w:cs="Arial"/>
                <w:b/>
                <w:color w:val="808080"/>
                <w:szCs w:val="22"/>
              </w:rPr>
            </w:pPr>
            <w:r w:rsidRPr="00D42C24">
              <w:rPr>
                <w:rFonts w:cs="Arial"/>
                <w:b/>
                <w:szCs w:val="22"/>
              </w:rPr>
              <w:t>Indicator #</w:t>
            </w:r>
            <w:r w:rsidR="004527E0">
              <w:rPr>
                <w:rFonts w:cs="Arial"/>
                <w:b/>
                <w:szCs w:val="22"/>
              </w:rPr>
              <w:t>6</w:t>
            </w:r>
            <w:r w:rsidRPr="00D42C24">
              <w:rPr>
                <w:rFonts w:cs="Arial"/>
                <w:b/>
                <w:szCs w:val="22"/>
              </w:rPr>
              <w:t>:</w:t>
            </w:r>
          </w:p>
        </w:tc>
        <w:tc>
          <w:tcPr>
            <w:tcW w:w="7654" w:type="dxa"/>
            <w:shd w:val="clear" w:color="auto" w:fill="auto"/>
            <w:vAlign w:val="bottom"/>
          </w:tcPr>
          <w:p w14:paraId="3A0766BA" w14:textId="3770D9C1" w:rsidR="00AC2BAC" w:rsidRPr="00D42C24" w:rsidRDefault="00AC2BAC" w:rsidP="00773C1D">
            <w:pPr>
              <w:pStyle w:val="Header"/>
              <w:spacing w:before="60"/>
              <w:rPr>
                <w:rFonts w:cs="Arial"/>
                <w:b/>
                <w:color w:val="000000"/>
                <w:szCs w:val="22"/>
              </w:rPr>
            </w:pPr>
            <w:r>
              <w:rPr>
                <w:rFonts w:cs="Arial"/>
                <w:color w:val="000000"/>
                <w:szCs w:val="22"/>
              </w:rPr>
              <w:t>People with diabetes regularly receiving sulfonylureas</w:t>
            </w:r>
          </w:p>
        </w:tc>
      </w:tr>
      <w:tr w:rsidR="00AC2BAC" w:rsidRPr="00D42C24" w14:paraId="1EF4028D" w14:textId="77777777" w:rsidTr="000F18B7">
        <w:trPr>
          <w:trHeight w:val="327"/>
        </w:trPr>
        <w:tc>
          <w:tcPr>
            <w:tcW w:w="1668" w:type="dxa"/>
            <w:shd w:val="clear" w:color="auto" w:fill="auto"/>
          </w:tcPr>
          <w:p w14:paraId="234186EA" w14:textId="77777777" w:rsidR="00AC2BAC" w:rsidRPr="00D42C24" w:rsidRDefault="00AC2BAC" w:rsidP="00773C1D">
            <w:pPr>
              <w:pStyle w:val="Header"/>
              <w:spacing w:before="60"/>
              <w:rPr>
                <w:rFonts w:cs="Arial"/>
                <w:szCs w:val="22"/>
              </w:rPr>
            </w:pPr>
            <w:r>
              <w:rPr>
                <w:rFonts w:cs="Arial"/>
                <w:szCs w:val="22"/>
              </w:rPr>
              <w:t>Numerator</w:t>
            </w:r>
          </w:p>
        </w:tc>
        <w:tc>
          <w:tcPr>
            <w:tcW w:w="7654" w:type="dxa"/>
            <w:shd w:val="clear" w:color="auto" w:fill="auto"/>
            <w:vAlign w:val="bottom"/>
          </w:tcPr>
          <w:p w14:paraId="23E18D3C" w14:textId="77777777" w:rsidR="00AC2BAC" w:rsidRPr="00D42C24" w:rsidRDefault="00AC2BAC" w:rsidP="00773C1D">
            <w:pPr>
              <w:pStyle w:val="Header"/>
              <w:spacing w:before="60"/>
              <w:rPr>
                <w:rFonts w:cs="Arial"/>
                <w:color w:val="000000"/>
                <w:szCs w:val="22"/>
              </w:rPr>
            </w:pPr>
            <w:r>
              <w:rPr>
                <w:rFonts w:cs="Arial"/>
                <w:color w:val="000000"/>
                <w:szCs w:val="22"/>
              </w:rPr>
              <w:t>People with diabetes dispensed sulfonylureas</w:t>
            </w:r>
            <w:r>
              <w:t xml:space="preserve"> in three or four quarters in the relevant year</w:t>
            </w:r>
          </w:p>
        </w:tc>
      </w:tr>
      <w:tr w:rsidR="00AC2BAC" w:rsidRPr="00680D83" w14:paraId="0C3F00AB" w14:textId="77777777" w:rsidTr="000F18B7">
        <w:trPr>
          <w:trHeight w:val="327"/>
        </w:trPr>
        <w:tc>
          <w:tcPr>
            <w:tcW w:w="1668" w:type="dxa"/>
            <w:shd w:val="clear" w:color="auto" w:fill="auto"/>
          </w:tcPr>
          <w:p w14:paraId="1212A734" w14:textId="77777777" w:rsidR="00AC2BAC" w:rsidRPr="00D42C24" w:rsidRDefault="00AC2BAC" w:rsidP="00773C1D">
            <w:pPr>
              <w:pStyle w:val="Header"/>
              <w:spacing w:before="60"/>
              <w:rPr>
                <w:rFonts w:cs="Arial"/>
                <w:szCs w:val="22"/>
              </w:rPr>
            </w:pPr>
            <w:r w:rsidRPr="00D42C24">
              <w:rPr>
                <w:rFonts w:cs="Arial"/>
                <w:szCs w:val="22"/>
              </w:rPr>
              <w:t>Denominator</w:t>
            </w:r>
          </w:p>
        </w:tc>
        <w:tc>
          <w:tcPr>
            <w:tcW w:w="7654" w:type="dxa"/>
            <w:shd w:val="clear" w:color="auto" w:fill="auto"/>
            <w:vAlign w:val="bottom"/>
          </w:tcPr>
          <w:p w14:paraId="70A53068" w14:textId="77777777" w:rsidR="00AC2BAC" w:rsidRPr="00680D83" w:rsidRDefault="00AC2BAC" w:rsidP="00773C1D">
            <w:pPr>
              <w:pStyle w:val="Header"/>
              <w:spacing w:before="60"/>
            </w:pPr>
            <w:r>
              <w:rPr>
                <w:rFonts w:cs="Arial"/>
                <w:szCs w:val="22"/>
              </w:rPr>
              <w:t>Count of distinct master NHIs</w:t>
            </w:r>
            <w:r w:rsidDel="00114E54">
              <w:t xml:space="preserve"> </w:t>
            </w:r>
            <w:r>
              <w:t>identified as having diabetes as per the VDR</w:t>
            </w:r>
          </w:p>
        </w:tc>
      </w:tr>
      <w:tr w:rsidR="00AC2BAC" w14:paraId="0214DA3D" w14:textId="77777777" w:rsidTr="000F18B7">
        <w:trPr>
          <w:trHeight w:val="327"/>
        </w:trPr>
        <w:tc>
          <w:tcPr>
            <w:tcW w:w="1668" w:type="dxa"/>
            <w:shd w:val="clear" w:color="auto" w:fill="auto"/>
          </w:tcPr>
          <w:p w14:paraId="68094F66" w14:textId="77777777" w:rsidR="00AC2BAC" w:rsidRPr="00D42C24" w:rsidRDefault="00AC2BAC" w:rsidP="00773C1D">
            <w:pPr>
              <w:pStyle w:val="Header"/>
              <w:spacing w:before="60"/>
              <w:rPr>
                <w:rFonts w:cs="Arial"/>
                <w:szCs w:val="22"/>
              </w:rPr>
            </w:pPr>
            <w:r>
              <w:rPr>
                <w:rFonts w:cs="Arial"/>
                <w:szCs w:val="22"/>
              </w:rPr>
              <w:t>By variables</w:t>
            </w:r>
          </w:p>
        </w:tc>
        <w:tc>
          <w:tcPr>
            <w:tcW w:w="7654" w:type="dxa"/>
            <w:shd w:val="clear" w:color="auto" w:fill="auto"/>
            <w:vAlign w:val="bottom"/>
          </w:tcPr>
          <w:p w14:paraId="68920158" w14:textId="709948F4" w:rsidR="00223369" w:rsidRDefault="00223369" w:rsidP="00223369">
            <w:pPr>
              <w:pStyle w:val="Header"/>
              <w:spacing w:before="60"/>
            </w:pPr>
            <w:r>
              <w:t>For single map analysis: By year (</w:t>
            </w:r>
            <w:r w:rsidR="00481942">
              <w:t>2018‒22</w:t>
            </w:r>
            <w:r>
              <w:t>), age group (</w:t>
            </w:r>
            <w:r w:rsidR="00481942">
              <w:t>0‒14</w:t>
            </w:r>
            <w:r>
              <w:t xml:space="preserve"> years, </w:t>
            </w:r>
            <w:r w:rsidR="00481942">
              <w:t>15‒24</w:t>
            </w:r>
            <w:r>
              <w:t xml:space="preserve"> years, </w:t>
            </w:r>
            <w:r w:rsidR="00481942">
              <w:t>25‒44</w:t>
            </w:r>
            <w:r>
              <w:t xml:space="preserve"> years, </w:t>
            </w:r>
            <w:r w:rsidR="00481942">
              <w:t>45‒64</w:t>
            </w:r>
            <w:r>
              <w:t xml:space="preserve"> years, </w:t>
            </w:r>
            <w:r w:rsidR="00481942">
              <w:t>65‒74</w:t>
            </w:r>
            <w:r>
              <w:t xml:space="preserve"> years and 75+ years), gender (female and male), ethnic group (Māori, Pacific peoples, Indian and </w:t>
            </w:r>
            <w:r w:rsidR="00481942">
              <w:t>European/other</w:t>
            </w:r>
            <w:r>
              <w:t>) and Health New Zealand district of domicile</w:t>
            </w:r>
            <w:r w:rsidR="009C1DC3">
              <w:t>.</w:t>
            </w:r>
          </w:p>
          <w:p w14:paraId="249EFB21" w14:textId="19834079" w:rsidR="00AC2BAC" w:rsidRDefault="00223369" w:rsidP="001741EB">
            <w:pPr>
              <w:pStyle w:val="Header"/>
              <w:spacing w:before="60"/>
            </w:pPr>
            <w:r>
              <w:t>For PHO analysis: By year (2022), age group (</w:t>
            </w:r>
            <w:r w:rsidR="00481942">
              <w:t>0‒14</w:t>
            </w:r>
            <w:r>
              <w:t xml:space="preserve"> years, </w:t>
            </w:r>
            <w:r w:rsidR="00481942">
              <w:t>15‒24</w:t>
            </w:r>
            <w:r>
              <w:t xml:space="preserve"> years, </w:t>
            </w:r>
            <w:r w:rsidR="00481942">
              <w:t>25‒44</w:t>
            </w:r>
            <w:r>
              <w:t xml:space="preserve"> years, </w:t>
            </w:r>
            <w:r w:rsidR="00481942">
              <w:t>45‒64</w:t>
            </w:r>
            <w:r>
              <w:t xml:space="preserve"> years, </w:t>
            </w:r>
            <w:r w:rsidR="00481942">
              <w:t>65‒74</w:t>
            </w:r>
            <w:r>
              <w:t xml:space="preserve"> years and 75+ years), gender (female and male), ethnic group (Māori, Pacific peoples, Indian and </w:t>
            </w:r>
            <w:r w:rsidR="00481942">
              <w:lastRenderedPageBreak/>
              <w:t>European/other</w:t>
            </w:r>
            <w:r>
              <w:t xml:space="preserve">), PHO most recently enrolled with (for the relevant year), PHO group (small, medium, </w:t>
            </w:r>
            <w:r w:rsidR="007E5C3B">
              <w:t>medium‒large</w:t>
            </w:r>
            <w:r>
              <w:t xml:space="preserve"> and large).</w:t>
            </w:r>
          </w:p>
        </w:tc>
      </w:tr>
      <w:tr w:rsidR="00AC2BAC" w14:paraId="2A07914B" w14:textId="77777777" w:rsidTr="000F18B7">
        <w:trPr>
          <w:trHeight w:val="327"/>
        </w:trPr>
        <w:tc>
          <w:tcPr>
            <w:tcW w:w="1668" w:type="dxa"/>
            <w:shd w:val="clear" w:color="auto" w:fill="auto"/>
          </w:tcPr>
          <w:p w14:paraId="750500F1" w14:textId="594ED5B2" w:rsidR="00AC2BAC" w:rsidRPr="00D42C24" w:rsidRDefault="00AC2BAC" w:rsidP="00773C1D">
            <w:pPr>
              <w:pStyle w:val="Header"/>
              <w:spacing w:before="60"/>
              <w:rPr>
                <w:rFonts w:cs="Arial"/>
                <w:szCs w:val="22"/>
              </w:rPr>
            </w:pPr>
            <w:r>
              <w:rPr>
                <w:rFonts w:cs="Arial"/>
                <w:szCs w:val="22"/>
              </w:rPr>
              <w:lastRenderedPageBreak/>
              <w:t>Data source</w:t>
            </w:r>
          </w:p>
        </w:tc>
        <w:tc>
          <w:tcPr>
            <w:tcW w:w="7654" w:type="dxa"/>
            <w:shd w:val="clear" w:color="auto" w:fill="auto"/>
            <w:vAlign w:val="bottom"/>
          </w:tcPr>
          <w:p w14:paraId="5C0212E4" w14:textId="77777777" w:rsidR="00AC2BAC" w:rsidRDefault="00AC2BAC" w:rsidP="00773C1D">
            <w:pPr>
              <w:pStyle w:val="Header"/>
              <w:spacing w:before="60"/>
            </w:pPr>
            <w:r>
              <w:t>Pharmaceutical Collection</w:t>
            </w:r>
          </w:p>
          <w:p w14:paraId="2907C46F" w14:textId="2A436BBD" w:rsidR="00AC2BAC" w:rsidRDefault="00AC2BAC" w:rsidP="00773C1D">
            <w:pPr>
              <w:pStyle w:val="Header"/>
              <w:spacing w:before="60"/>
            </w:pPr>
            <w:r>
              <w:t xml:space="preserve">VDR </w:t>
            </w:r>
          </w:p>
        </w:tc>
      </w:tr>
      <w:tr w:rsidR="00AC2BAC" w14:paraId="3C17A053" w14:textId="77777777" w:rsidTr="000F18B7">
        <w:trPr>
          <w:trHeight w:val="327"/>
        </w:trPr>
        <w:tc>
          <w:tcPr>
            <w:tcW w:w="1668" w:type="dxa"/>
            <w:shd w:val="clear" w:color="auto" w:fill="auto"/>
          </w:tcPr>
          <w:p w14:paraId="7F5DC235" w14:textId="77777777" w:rsidR="00AC2BAC" w:rsidRDefault="00AC2BAC" w:rsidP="00773C1D">
            <w:pPr>
              <w:pStyle w:val="Header"/>
              <w:spacing w:before="60"/>
              <w:rPr>
                <w:rFonts w:cs="Arial"/>
                <w:szCs w:val="22"/>
              </w:rPr>
            </w:pPr>
            <w:r>
              <w:rPr>
                <w:rFonts w:cs="Arial"/>
                <w:szCs w:val="22"/>
              </w:rPr>
              <w:t>Code</w:t>
            </w:r>
          </w:p>
        </w:tc>
        <w:tc>
          <w:tcPr>
            <w:tcW w:w="7654" w:type="dxa"/>
            <w:shd w:val="clear" w:color="auto" w:fill="auto"/>
            <w:vAlign w:val="bottom"/>
          </w:tcPr>
          <w:p w14:paraId="4AF074E6" w14:textId="1E2645DC" w:rsidR="00AC2BAC" w:rsidRDefault="00AC2BAC" w:rsidP="00773C1D">
            <w:pPr>
              <w:spacing w:before="60"/>
              <w:rPr>
                <w:rFonts w:cs="Arial"/>
                <w:color w:val="000000"/>
                <w:szCs w:val="22"/>
              </w:rPr>
            </w:pPr>
            <w:r w:rsidRPr="004852C2">
              <w:rPr>
                <w:rFonts w:cs="Arial"/>
                <w:color w:val="000000"/>
                <w:szCs w:val="22"/>
              </w:rPr>
              <w:t>156702</w:t>
            </w:r>
            <w:r>
              <w:rPr>
                <w:rFonts w:cs="Arial"/>
                <w:color w:val="000000"/>
                <w:szCs w:val="22"/>
              </w:rPr>
              <w:t xml:space="preserve"> </w:t>
            </w:r>
            <w:r w:rsidR="004527E0">
              <w:rPr>
                <w:rFonts w:cs="Arial"/>
                <w:color w:val="000000"/>
                <w:szCs w:val="22"/>
              </w:rPr>
              <w:t>g</w:t>
            </w:r>
            <w:r>
              <w:rPr>
                <w:rFonts w:cs="Arial"/>
                <w:color w:val="000000"/>
                <w:szCs w:val="22"/>
              </w:rPr>
              <w:t>libenclamide</w:t>
            </w:r>
          </w:p>
          <w:p w14:paraId="05C168F6" w14:textId="2CCA076E" w:rsidR="00AC2BAC" w:rsidRDefault="00AC2BAC" w:rsidP="00773C1D">
            <w:pPr>
              <w:spacing w:before="60"/>
              <w:rPr>
                <w:rFonts w:cs="Arial"/>
                <w:color w:val="000000"/>
                <w:szCs w:val="22"/>
              </w:rPr>
            </w:pPr>
            <w:r>
              <w:rPr>
                <w:rFonts w:cs="Arial"/>
                <w:color w:val="000000"/>
                <w:szCs w:val="22"/>
              </w:rPr>
              <w:t xml:space="preserve">156801 </w:t>
            </w:r>
            <w:r w:rsidR="004527E0">
              <w:rPr>
                <w:rFonts w:cs="Arial"/>
                <w:color w:val="000000"/>
                <w:szCs w:val="22"/>
              </w:rPr>
              <w:t>g</w:t>
            </w:r>
            <w:r>
              <w:rPr>
                <w:rFonts w:cs="Arial"/>
                <w:color w:val="000000"/>
                <w:szCs w:val="22"/>
              </w:rPr>
              <w:t>liclazide</w:t>
            </w:r>
          </w:p>
          <w:p w14:paraId="67E44AD4" w14:textId="5A306AA9" w:rsidR="00AC2BAC" w:rsidRPr="00D6250D" w:rsidRDefault="00AC2BAC" w:rsidP="00773C1D">
            <w:pPr>
              <w:spacing w:before="60"/>
              <w:rPr>
                <w:rFonts w:cs="Arial"/>
                <w:color w:val="000000"/>
                <w:szCs w:val="22"/>
              </w:rPr>
            </w:pPr>
            <w:r>
              <w:rPr>
                <w:rFonts w:cs="Arial"/>
                <w:color w:val="000000"/>
                <w:szCs w:val="22"/>
              </w:rPr>
              <w:t xml:space="preserve">156901 </w:t>
            </w:r>
            <w:r w:rsidR="004527E0">
              <w:rPr>
                <w:rFonts w:cs="Arial"/>
                <w:color w:val="000000"/>
                <w:szCs w:val="22"/>
              </w:rPr>
              <w:t>g</w:t>
            </w:r>
            <w:r>
              <w:rPr>
                <w:rFonts w:cs="Arial"/>
                <w:color w:val="000000"/>
                <w:szCs w:val="22"/>
              </w:rPr>
              <w:t>lipizide</w:t>
            </w:r>
          </w:p>
        </w:tc>
      </w:tr>
      <w:tr w:rsidR="00AC2BAC" w:rsidRPr="00D42C24" w14:paraId="41026D1D" w14:textId="77777777" w:rsidTr="000F18B7">
        <w:trPr>
          <w:trHeight w:val="327"/>
        </w:trPr>
        <w:tc>
          <w:tcPr>
            <w:tcW w:w="1668" w:type="dxa"/>
            <w:shd w:val="clear" w:color="auto" w:fill="auto"/>
          </w:tcPr>
          <w:p w14:paraId="716E6CE9" w14:textId="77777777" w:rsidR="00AC2BAC" w:rsidRPr="00D42C24" w:rsidRDefault="00AC2BAC" w:rsidP="00773C1D">
            <w:pPr>
              <w:pStyle w:val="Header"/>
              <w:spacing w:before="60"/>
              <w:rPr>
                <w:rFonts w:cs="Arial"/>
                <w:szCs w:val="22"/>
              </w:rPr>
            </w:pPr>
            <w:r>
              <w:rPr>
                <w:rFonts w:cs="Arial"/>
                <w:szCs w:val="22"/>
              </w:rPr>
              <w:t>Rationale</w:t>
            </w:r>
          </w:p>
        </w:tc>
        <w:tc>
          <w:tcPr>
            <w:tcW w:w="7654" w:type="dxa"/>
            <w:shd w:val="clear" w:color="auto" w:fill="auto"/>
            <w:vAlign w:val="bottom"/>
          </w:tcPr>
          <w:p w14:paraId="345521E7" w14:textId="5B4D1F3F" w:rsidR="00AC2BAC" w:rsidRPr="00D42C24" w:rsidRDefault="00AC2BAC" w:rsidP="00773C1D">
            <w:pPr>
              <w:pStyle w:val="Header"/>
              <w:spacing w:before="60"/>
              <w:rPr>
                <w:rFonts w:cs="Arial"/>
                <w:color w:val="000000"/>
                <w:szCs w:val="22"/>
              </w:rPr>
            </w:pPr>
            <w:r>
              <w:rPr>
                <w:rFonts w:cs="Arial"/>
                <w:color w:val="000000"/>
                <w:szCs w:val="22"/>
              </w:rPr>
              <w:t xml:space="preserve">Understanding variation in dispensing these </w:t>
            </w:r>
            <w:r w:rsidR="00AB4D7A">
              <w:rPr>
                <w:rFonts w:cs="Arial"/>
                <w:color w:val="000000"/>
                <w:szCs w:val="22"/>
              </w:rPr>
              <w:t xml:space="preserve">medicines </w:t>
            </w:r>
            <w:r w:rsidRPr="00BD40B6">
              <w:rPr>
                <w:rFonts w:cs="Arial"/>
                <w:color w:val="000000"/>
                <w:szCs w:val="22"/>
              </w:rPr>
              <w:t>is important for optimi</w:t>
            </w:r>
            <w:r w:rsidR="00C804AC">
              <w:rPr>
                <w:rFonts w:cs="Arial"/>
                <w:color w:val="000000"/>
                <w:szCs w:val="22"/>
              </w:rPr>
              <w:t>s</w:t>
            </w:r>
            <w:r w:rsidRPr="00BD40B6">
              <w:rPr>
                <w:rFonts w:cs="Arial"/>
                <w:color w:val="000000"/>
                <w:szCs w:val="22"/>
              </w:rPr>
              <w:t xml:space="preserve">ing diabetes care and ensuring that patients receive the most appropriate treatments. </w:t>
            </w:r>
          </w:p>
        </w:tc>
      </w:tr>
      <w:tr w:rsidR="001741EB" w:rsidRPr="00D42C24" w14:paraId="0E9E68C0" w14:textId="77777777" w:rsidTr="000F18B7">
        <w:trPr>
          <w:trHeight w:val="327"/>
        </w:trPr>
        <w:tc>
          <w:tcPr>
            <w:tcW w:w="1668" w:type="dxa"/>
            <w:shd w:val="clear" w:color="auto" w:fill="auto"/>
          </w:tcPr>
          <w:p w14:paraId="25780879" w14:textId="1393EACD" w:rsidR="001741EB" w:rsidRDefault="001741EB" w:rsidP="001741EB">
            <w:pPr>
              <w:pStyle w:val="Header"/>
              <w:spacing w:before="60"/>
              <w:rPr>
                <w:rFonts w:cs="Arial"/>
                <w:szCs w:val="22"/>
              </w:rPr>
            </w:pPr>
            <w:r w:rsidRPr="00FD6AEC">
              <w:rPr>
                <w:rFonts w:cs="Arial"/>
                <w:szCs w:val="22"/>
              </w:rPr>
              <w:t>Commentary</w:t>
            </w:r>
          </w:p>
        </w:tc>
        <w:tc>
          <w:tcPr>
            <w:tcW w:w="7654" w:type="dxa"/>
            <w:shd w:val="clear" w:color="auto" w:fill="auto"/>
            <w:vAlign w:val="bottom"/>
          </w:tcPr>
          <w:p w14:paraId="2CA36DE0" w14:textId="77777777" w:rsidR="001741EB" w:rsidRPr="00FD6AEC" w:rsidRDefault="001741EB" w:rsidP="001741EB">
            <w:pPr>
              <w:spacing w:before="60"/>
              <w:rPr>
                <w:rFonts w:cs="Arial"/>
                <w:color w:val="000000"/>
              </w:rPr>
            </w:pPr>
            <w:r w:rsidRPr="00FD6AEC">
              <w:rPr>
                <w:rFonts w:cs="Arial"/>
                <w:color w:val="000000"/>
              </w:rPr>
              <w:t xml:space="preserve">Description: </w:t>
            </w:r>
          </w:p>
          <w:p w14:paraId="14BAF515" w14:textId="5E58CE51" w:rsidR="001741EB" w:rsidRPr="00FD6AEC" w:rsidRDefault="001741EB" w:rsidP="001741EB">
            <w:pPr>
              <w:pStyle w:val="Header"/>
              <w:spacing w:before="60"/>
              <w:rPr>
                <w:rFonts w:cs="Arial"/>
              </w:rPr>
            </w:pPr>
            <w:r w:rsidRPr="00FD6AEC">
              <w:rPr>
                <w:rFonts w:cs="Arial"/>
              </w:rPr>
              <w:t>This indicator shows the number and percent of people with diabetes receiving sulfonylureas (</w:t>
            </w:r>
            <w:r w:rsidR="00E35F19">
              <w:rPr>
                <w:rFonts w:cs="Arial"/>
              </w:rPr>
              <w:t>g</w:t>
            </w:r>
            <w:r w:rsidRPr="00FD6AEC">
              <w:rPr>
                <w:rFonts w:cs="Arial"/>
              </w:rPr>
              <w:t xml:space="preserve">libenclamide, </w:t>
            </w:r>
            <w:r w:rsidR="00E35F19">
              <w:rPr>
                <w:rFonts w:cs="Arial"/>
              </w:rPr>
              <w:t>g</w:t>
            </w:r>
            <w:r w:rsidRPr="00FD6AEC">
              <w:rPr>
                <w:rFonts w:cs="Arial"/>
              </w:rPr>
              <w:t xml:space="preserve">liclazide and </w:t>
            </w:r>
            <w:r w:rsidR="00E35F19">
              <w:rPr>
                <w:rFonts w:cs="Arial"/>
              </w:rPr>
              <w:t>g</w:t>
            </w:r>
            <w:r w:rsidRPr="00FD6AEC">
              <w:rPr>
                <w:rFonts w:cs="Arial"/>
              </w:rPr>
              <w:t xml:space="preserve">lipizide) regularly. Regular use was defined as </w:t>
            </w:r>
            <w:r>
              <w:rPr>
                <w:rFonts w:cs="Arial"/>
                <w:color w:val="000000"/>
                <w:szCs w:val="22"/>
              </w:rPr>
              <w:t>sulfonylureas</w:t>
            </w:r>
            <w:r w:rsidRPr="00FD6AEC">
              <w:rPr>
                <w:rFonts w:cs="Arial"/>
              </w:rPr>
              <w:t xml:space="preserve"> dispensed in three or more quarters in a year.</w:t>
            </w:r>
          </w:p>
          <w:p w14:paraId="6340E924" w14:textId="77777777" w:rsidR="001741EB" w:rsidRPr="00FD6AEC" w:rsidRDefault="001741EB" w:rsidP="00394485">
            <w:pPr>
              <w:spacing w:before="240"/>
              <w:rPr>
                <w:rFonts w:cs="Arial"/>
                <w:color w:val="000000"/>
              </w:rPr>
            </w:pPr>
            <w:r w:rsidRPr="00FD6AEC">
              <w:rPr>
                <w:rFonts w:cs="Arial"/>
                <w:color w:val="000000"/>
              </w:rPr>
              <w:t>Why is this indicator important?</w:t>
            </w:r>
          </w:p>
          <w:p w14:paraId="4C3CFFB7" w14:textId="38B4A40E" w:rsidR="001741EB" w:rsidRPr="00FD6AEC" w:rsidRDefault="001741EB" w:rsidP="001741EB">
            <w:pPr>
              <w:spacing w:before="60"/>
              <w:rPr>
                <w:rFonts w:cs="Arial"/>
                <w:color w:val="000000"/>
              </w:rPr>
            </w:pPr>
            <w:r w:rsidRPr="00FD6AEC">
              <w:rPr>
                <w:rFonts w:cs="Arial"/>
                <w:color w:val="000000"/>
              </w:rPr>
              <w:t xml:space="preserve">Understanding variation in dispensing these </w:t>
            </w:r>
            <w:r w:rsidR="00850DAC">
              <w:rPr>
                <w:rFonts w:cs="Arial"/>
                <w:color w:val="000000"/>
              </w:rPr>
              <w:t>medicines</w:t>
            </w:r>
            <w:r w:rsidR="00850DAC" w:rsidRPr="00FD6AEC">
              <w:rPr>
                <w:rFonts w:cs="Arial"/>
                <w:color w:val="000000"/>
              </w:rPr>
              <w:t xml:space="preserve"> </w:t>
            </w:r>
            <w:r w:rsidRPr="00FD6AEC">
              <w:rPr>
                <w:rFonts w:cs="Arial"/>
                <w:color w:val="000000"/>
              </w:rPr>
              <w:t xml:space="preserve">is important for </w:t>
            </w:r>
            <w:r w:rsidR="00E35F19" w:rsidRPr="00FD6AEC">
              <w:rPr>
                <w:rFonts w:cs="Arial"/>
                <w:color w:val="000000"/>
              </w:rPr>
              <w:t>optimi</w:t>
            </w:r>
            <w:r w:rsidR="00E35F19">
              <w:rPr>
                <w:rFonts w:cs="Arial"/>
                <w:color w:val="000000"/>
              </w:rPr>
              <w:t>s</w:t>
            </w:r>
            <w:r w:rsidR="00E35F19" w:rsidRPr="00FD6AEC">
              <w:rPr>
                <w:rFonts w:cs="Arial"/>
                <w:color w:val="000000"/>
              </w:rPr>
              <w:t xml:space="preserve">ing </w:t>
            </w:r>
            <w:r w:rsidRPr="00FD6AEC">
              <w:rPr>
                <w:rFonts w:cs="Arial"/>
                <w:color w:val="000000"/>
              </w:rPr>
              <w:t>diabetes care and ensuring that patients receive the most appropriate treatments.</w:t>
            </w:r>
          </w:p>
          <w:p w14:paraId="5B2AF010" w14:textId="77777777" w:rsidR="001741EB" w:rsidRPr="00FD6AEC" w:rsidRDefault="001741EB" w:rsidP="00394485">
            <w:pPr>
              <w:spacing w:before="240"/>
              <w:rPr>
                <w:rFonts w:cs="Arial"/>
                <w:color w:val="000000"/>
              </w:rPr>
            </w:pPr>
            <w:r w:rsidRPr="00FD6AEC">
              <w:rPr>
                <w:rFonts w:cs="Arial"/>
                <w:color w:val="000000"/>
              </w:rPr>
              <w:t>What questions does this prompt?</w:t>
            </w:r>
          </w:p>
          <w:p w14:paraId="194874D3" w14:textId="7FB3731F" w:rsidR="001741EB" w:rsidRPr="00FD6AEC" w:rsidRDefault="001741EB" w:rsidP="00653FE2">
            <w:pPr>
              <w:pStyle w:val="ListParagraph"/>
              <w:numPr>
                <w:ilvl w:val="0"/>
                <w:numId w:val="4"/>
              </w:numPr>
              <w:spacing w:before="60" w:after="60"/>
              <w:contextualSpacing w:val="0"/>
              <w:rPr>
                <w:color w:val="000000"/>
              </w:rPr>
            </w:pPr>
            <w:r w:rsidRPr="00FD6AEC">
              <w:rPr>
                <w:color w:val="000000"/>
              </w:rPr>
              <w:t xml:space="preserve">How </w:t>
            </w:r>
            <w:r w:rsidR="004527E0">
              <w:rPr>
                <w:color w:val="000000"/>
              </w:rPr>
              <w:t>do</w:t>
            </w:r>
            <w:r w:rsidRPr="00FD6AEC">
              <w:rPr>
                <w:color w:val="000000"/>
              </w:rPr>
              <w:t xml:space="preserve"> districts with similar ethnic composition compare?</w:t>
            </w:r>
          </w:p>
          <w:p w14:paraId="08E9DBB5" w14:textId="050683B5" w:rsidR="001741EB" w:rsidRPr="00394485" w:rsidRDefault="001741EB" w:rsidP="001741EB">
            <w:pPr>
              <w:pStyle w:val="Header"/>
              <w:numPr>
                <w:ilvl w:val="0"/>
                <w:numId w:val="4"/>
              </w:numPr>
              <w:spacing w:before="60"/>
              <w:rPr>
                <w:rFonts w:cs="Arial"/>
                <w:color w:val="000000"/>
                <w:szCs w:val="22"/>
              </w:rPr>
            </w:pPr>
            <w:r w:rsidRPr="00FD6AEC">
              <w:rPr>
                <w:rFonts w:cs="Arial"/>
                <w:color w:val="000000"/>
                <w:szCs w:val="22"/>
              </w:rPr>
              <w:t>How do PHOs with similar populations compare?</w:t>
            </w:r>
          </w:p>
        </w:tc>
      </w:tr>
    </w:tbl>
    <w:p w14:paraId="096FB838" w14:textId="77777777" w:rsidR="000B42F7" w:rsidRDefault="000B42F7" w:rsidP="0000087A">
      <w:pPr>
        <w:rPr>
          <w:rFonts w:cs="Arial"/>
          <w:szCs w:val="22"/>
        </w:rPr>
      </w:pPr>
    </w:p>
    <w:p w14:paraId="0091C2EF" w14:textId="77777777" w:rsidR="00EB4387" w:rsidRDefault="00EB4387" w:rsidP="0000087A">
      <w:pPr>
        <w:rPr>
          <w:rFonts w:cs="Arial"/>
          <w:szCs w:val="22"/>
        </w:rPr>
      </w:pPr>
    </w:p>
    <w:tbl>
      <w:tblPr>
        <w:tblW w:w="932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A0" w:firstRow="1" w:lastRow="0" w:firstColumn="1" w:lastColumn="0" w:noHBand="0" w:noVBand="0"/>
      </w:tblPr>
      <w:tblGrid>
        <w:gridCol w:w="1668"/>
        <w:gridCol w:w="7654"/>
      </w:tblGrid>
      <w:tr w:rsidR="00EB4387" w:rsidRPr="00D42C24" w14:paraId="621F6960" w14:textId="77777777" w:rsidTr="000F18B7">
        <w:trPr>
          <w:trHeight w:val="327"/>
        </w:trPr>
        <w:tc>
          <w:tcPr>
            <w:tcW w:w="1668" w:type="dxa"/>
            <w:shd w:val="clear" w:color="auto" w:fill="auto"/>
          </w:tcPr>
          <w:p w14:paraId="089A4799" w14:textId="49E0DCD7" w:rsidR="00EB4387" w:rsidRPr="00D42C24" w:rsidRDefault="00EB4387" w:rsidP="00773C1D">
            <w:pPr>
              <w:pStyle w:val="Header"/>
              <w:spacing w:before="60"/>
              <w:rPr>
                <w:rFonts w:cs="Arial"/>
                <w:b/>
                <w:color w:val="808080"/>
                <w:szCs w:val="22"/>
              </w:rPr>
            </w:pPr>
            <w:r w:rsidRPr="00D42C24">
              <w:rPr>
                <w:rFonts w:cs="Arial"/>
                <w:b/>
                <w:szCs w:val="22"/>
              </w:rPr>
              <w:t>Indicator #</w:t>
            </w:r>
            <w:r w:rsidR="00B060BD">
              <w:rPr>
                <w:rFonts w:cs="Arial"/>
                <w:b/>
                <w:szCs w:val="22"/>
              </w:rPr>
              <w:t>7</w:t>
            </w:r>
            <w:r w:rsidRPr="00D42C24">
              <w:rPr>
                <w:rFonts w:cs="Arial"/>
                <w:b/>
                <w:szCs w:val="22"/>
              </w:rPr>
              <w:t>:</w:t>
            </w:r>
          </w:p>
        </w:tc>
        <w:tc>
          <w:tcPr>
            <w:tcW w:w="7654" w:type="dxa"/>
            <w:shd w:val="clear" w:color="auto" w:fill="auto"/>
            <w:vAlign w:val="bottom"/>
          </w:tcPr>
          <w:p w14:paraId="21B9708C" w14:textId="77777777" w:rsidR="00EB4387" w:rsidRPr="00D42C24" w:rsidRDefault="00EB4387" w:rsidP="00773C1D">
            <w:pPr>
              <w:pStyle w:val="Header"/>
              <w:spacing w:before="60"/>
              <w:rPr>
                <w:rFonts w:cs="Arial"/>
                <w:b/>
                <w:szCs w:val="22"/>
              </w:rPr>
            </w:pPr>
            <w:r>
              <w:t>People with diabetes regularly</w:t>
            </w:r>
            <w:r>
              <w:rPr>
                <w:vertAlign w:val="superscript"/>
              </w:rPr>
              <w:t>2</w:t>
            </w:r>
            <w:r>
              <w:t xml:space="preserve"> receiving insulin in the relevant year</w:t>
            </w:r>
          </w:p>
        </w:tc>
      </w:tr>
      <w:tr w:rsidR="00EB4387" w:rsidRPr="00D42C24" w14:paraId="6F36BC65" w14:textId="77777777" w:rsidTr="000F18B7">
        <w:trPr>
          <w:trHeight w:val="327"/>
        </w:trPr>
        <w:tc>
          <w:tcPr>
            <w:tcW w:w="1668" w:type="dxa"/>
            <w:shd w:val="clear" w:color="auto" w:fill="auto"/>
          </w:tcPr>
          <w:p w14:paraId="6A1A7BDD" w14:textId="77777777" w:rsidR="00EB4387" w:rsidRPr="00D42C24" w:rsidRDefault="00EB4387" w:rsidP="00773C1D">
            <w:pPr>
              <w:pStyle w:val="Header"/>
              <w:spacing w:before="60"/>
              <w:rPr>
                <w:rFonts w:cs="Arial"/>
                <w:szCs w:val="22"/>
              </w:rPr>
            </w:pPr>
            <w:r w:rsidRPr="00D42C24">
              <w:rPr>
                <w:rFonts w:cs="Arial"/>
                <w:szCs w:val="22"/>
              </w:rPr>
              <w:t>Numerator</w:t>
            </w:r>
          </w:p>
        </w:tc>
        <w:tc>
          <w:tcPr>
            <w:tcW w:w="7654" w:type="dxa"/>
            <w:shd w:val="clear" w:color="auto" w:fill="auto"/>
            <w:vAlign w:val="bottom"/>
          </w:tcPr>
          <w:p w14:paraId="150EAE05" w14:textId="77777777" w:rsidR="00EB4387" w:rsidRPr="00D42C24" w:rsidRDefault="00EB4387" w:rsidP="00773C1D">
            <w:pPr>
              <w:pStyle w:val="Header"/>
              <w:spacing w:before="60"/>
              <w:rPr>
                <w:rFonts w:cs="Arial"/>
                <w:color w:val="000000"/>
                <w:szCs w:val="22"/>
              </w:rPr>
            </w:pPr>
            <w:r>
              <w:t>People with diabetes dispensed insulin in three or four quarters in the relevant year</w:t>
            </w:r>
          </w:p>
        </w:tc>
      </w:tr>
      <w:tr w:rsidR="00EB4387" w:rsidRPr="00D42C24" w14:paraId="0C58E5A5" w14:textId="77777777" w:rsidTr="000F18B7">
        <w:trPr>
          <w:trHeight w:val="327"/>
        </w:trPr>
        <w:tc>
          <w:tcPr>
            <w:tcW w:w="1668" w:type="dxa"/>
            <w:shd w:val="clear" w:color="auto" w:fill="auto"/>
          </w:tcPr>
          <w:p w14:paraId="21E672F1" w14:textId="77777777" w:rsidR="00EB4387" w:rsidRPr="00D42C24" w:rsidRDefault="00EB4387" w:rsidP="00773C1D">
            <w:pPr>
              <w:pStyle w:val="Header"/>
              <w:spacing w:before="60"/>
              <w:rPr>
                <w:rFonts w:cs="Arial"/>
                <w:szCs w:val="22"/>
              </w:rPr>
            </w:pPr>
            <w:r w:rsidRPr="00D42C24">
              <w:rPr>
                <w:rFonts w:cs="Arial"/>
                <w:szCs w:val="22"/>
              </w:rPr>
              <w:t>Denominator</w:t>
            </w:r>
          </w:p>
        </w:tc>
        <w:tc>
          <w:tcPr>
            <w:tcW w:w="7654" w:type="dxa"/>
            <w:shd w:val="clear" w:color="auto" w:fill="auto"/>
            <w:vAlign w:val="bottom"/>
          </w:tcPr>
          <w:p w14:paraId="20D451F5" w14:textId="102377F1" w:rsidR="00EB4387" w:rsidRPr="00D42C24" w:rsidRDefault="00EB4387" w:rsidP="00773C1D">
            <w:pPr>
              <w:pStyle w:val="Header"/>
              <w:spacing w:before="60"/>
              <w:rPr>
                <w:rFonts w:cs="Arial"/>
                <w:color w:val="000000"/>
                <w:szCs w:val="22"/>
              </w:rPr>
            </w:pPr>
            <w:r>
              <w:rPr>
                <w:rFonts w:cs="Arial"/>
                <w:szCs w:val="22"/>
              </w:rPr>
              <w:t>Count of distinct master NHIs</w:t>
            </w:r>
            <w:r w:rsidDel="00114E54">
              <w:t xml:space="preserve"> </w:t>
            </w:r>
            <w:r>
              <w:t xml:space="preserve">identified as having diabetes on </w:t>
            </w:r>
            <w:r w:rsidR="00B41AAD">
              <w:t xml:space="preserve">the </w:t>
            </w:r>
            <w:r>
              <w:t>VDR</w:t>
            </w:r>
          </w:p>
        </w:tc>
      </w:tr>
      <w:tr w:rsidR="00EB4387" w:rsidRPr="00D42C24" w14:paraId="2DF32B32" w14:textId="77777777" w:rsidTr="000F18B7">
        <w:trPr>
          <w:trHeight w:val="327"/>
        </w:trPr>
        <w:tc>
          <w:tcPr>
            <w:tcW w:w="1668" w:type="dxa"/>
            <w:shd w:val="clear" w:color="auto" w:fill="auto"/>
          </w:tcPr>
          <w:p w14:paraId="496EA2EA" w14:textId="77777777" w:rsidR="00EB4387" w:rsidRPr="00D42C24" w:rsidRDefault="00EB4387" w:rsidP="00773C1D">
            <w:pPr>
              <w:pStyle w:val="Header"/>
              <w:spacing w:before="60"/>
              <w:rPr>
                <w:rFonts w:cs="Arial"/>
                <w:szCs w:val="22"/>
              </w:rPr>
            </w:pPr>
            <w:r>
              <w:rPr>
                <w:rFonts w:cs="Arial"/>
                <w:szCs w:val="22"/>
              </w:rPr>
              <w:t>Data source</w:t>
            </w:r>
          </w:p>
        </w:tc>
        <w:tc>
          <w:tcPr>
            <w:tcW w:w="7654" w:type="dxa"/>
            <w:shd w:val="clear" w:color="auto" w:fill="auto"/>
            <w:vAlign w:val="bottom"/>
          </w:tcPr>
          <w:p w14:paraId="346CB8C9" w14:textId="1C203010" w:rsidR="00EB4387" w:rsidRDefault="00EB4387" w:rsidP="00773C1D">
            <w:pPr>
              <w:spacing w:before="60"/>
            </w:pPr>
            <w:r>
              <w:t xml:space="preserve">Pharmaceutical Collection, </w:t>
            </w:r>
            <w:r w:rsidR="001741EB">
              <w:t>Health New Zealand</w:t>
            </w:r>
          </w:p>
          <w:p w14:paraId="0D2DB7DC" w14:textId="301F3BB9" w:rsidR="00EB4387" w:rsidRPr="00514EA6" w:rsidRDefault="00EB4387" w:rsidP="00773C1D">
            <w:pPr>
              <w:spacing w:before="60"/>
            </w:pPr>
            <w:r>
              <w:t xml:space="preserve">VDR </w:t>
            </w:r>
          </w:p>
        </w:tc>
      </w:tr>
      <w:tr w:rsidR="00EB4387" w:rsidRPr="00D42C24" w14:paraId="303F8997" w14:textId="77777777" w:rsidTr="000F18B7">
        <w:trPr>
          <w:trHeight w:val="327"/>
        </w:trPr>
        <w:tc>
          <w:tcPr>
            <w:tcW w:w="1668" w:type="dxa"/>
            <w:shd w:val="clear" w:color="auto" w:fill="auto"/>
          </w:tcPr>
          <w:p w14:paraId="64CCE073" w14:textId="77777777" w:rsidR="00EB4387" w:rsidRDefault="00EB4387" w:rsidP="00773C1D">
            <w:pPr>
              <w:pStyle w:val="Header"/>
              <w:spacing w:before="60"/>
              <w:rPr>
                <w:rFonts w:cs="Arial"/>
                <w:szCs w:val="22"/>
              </w:rPr>
            </w:pPr>
            <w:r>
              <w:rPr>
                <w:rFonts w:cs="Arial"/>
                <w:szCs w:val="22"/>
              </w:rPr>
              <w:t>By variables</w:t>
            </w:r>
          </w:p>
        </w:tc>
        <w:tc>
          <w:tcPr>
            <w:tcW w:w="7654" w:type="dxa"/>
            <w:shd w:val="clear" w:color="auto" w:fill="auto"/>
            <w:vAlign w:val="bottom"/>
          </w:tcPr>
          <w:p w14:paraId="059BA86E" w14:textId="3119075B" w:rsidR="00223369" w:rsidRDefault="00223369" w:rsidP="00223369">
            <w:pPr>
              <w:pStyle w:val="Header"/>
              <w:spacing w:before="60"/>
            </w:pPr>
            <w:r>
              <w:t>For single map analysis: By year (</w:t>
            </w:r>
            <w:r w:rsidR="00481942">
              <w:t>2018‒22</w:t>
            </w:r>
            <w:r>
              <w:t>), age group (</w:t>
            </w:r>
            <w:r w:rsidR="00481942">
              <w:t>0‒14</w:t>
            </w:r>
            <w:r>
              <w:t xml:space="preserve"> years, </w:t>
            </w:r>
            <w:r w:rsidR="00481942">
              <w:t>15‒24</w:t>
            </w:r>
            <w:r>
              <w:t xml:space="preserve"> years, </w:t>
            </w:r>
            <w:r w:rsidR="00481942">
              <w:t>25‒44</w:t>
            </w:r>
            <w:r>
              <w:t xml:space="preserve"> years, </w:t>
            </w:r>
            <w:r w:rsidR="00481942">
              <w:t>45‒64</w:t>
            </w:r>
            <w:r>
              <w:t xml:space="preserve"> years, </w:t>
            </w:r>
            <w:r w:rsidR="00481942">
              <w:t>65‒74</w:t>
            </w:r>
            <w:r>
              <w:t xml:space="preserve"> years and 75+ years), gender (female and male), ethnic group (Māori, Pacific peoples, Indian and </w:t>
            </w:r>
            <w:r w:rsidR="00481942">
              <w:t>European/other</w:t>
            </w:r>
            <w:r>
              <w:t>) and Health New Zealand district of domicile</w:t>
            </w:r>
            <w:r w:rsidR="00C311D7">
              <w:t>.</w:t>
            </w:r>
            <w:r>
              <w:t xml:space="preserve"> </w:t>
            </w:r>
          </w:p>
          <w:p w14:paraId="7312B891" w14:textId="569576E2" w:rsidR="00EB4387" w:rsidRDefault="00223369" w:rsidP="00514EA6">
            <w:pPr>
              <w:spacing w:before="60"/>
            </w:pPr>
            <w:r>
              <w:t>For PHO analysis: By year (2022), age group (</w:t>
            </w:r>
            <w:r w:rsidR="00481942">
              <w:t>0‒14</w:t>
            </w:r>
            <w:r>
              <w:t xml:space="preserve"> years, </w:t>
            </w:r>
            <w:r w:rsidR="00481942">
              <w:t>15‒24</w:t>
            </w:r>
            <w:r>
              <w:t xml:space="preserve"> years, </w:t>
            </w:r>
            <w:r w:rsidR="00481942">
              <w:t>25‒44</w:t>
            </w:r>
            <w:r>
              <w:t xml:space="preserve"> years, </w:t>
            </w:r>
            <w:r w:rsidR="00481942">
              <w:t>45‒64</w:t>
            </w:r>
            <w:r>
              <w:t xml:space="preserve"> years, </w:t>
            </w:r>
            <w:r w:rsidR="00481942">
              <w:t>65‒74</w:t>
            </w:r>
            <w:r>
              <w:t xml:space="preserve"> years and 75+ years), gender (female and male), ethnic group (Māori, Pacific peoples, Indian and </w:t>
            </w:r>
            <w:r w:rsidR="00481942">
              <w:t>European/other</w:t>
            </w:r>
            <w:r>
              <w:t xml:space="preserve">), PHO most recently enrolled with (for the relevant year), PHO group (small, medium, </w:t>
            </w:r>
            <w:r w:rsidR="007E5C3B">
              <w:t>medium‒large</w:t>
            </w:r>
            <w:r>
              <w:t xml:space="preserve"> and large).</w:t>
            </w:r>
          </w:p>
        </w:tc>
      </w:tr>
      <w:tr w:rsidR="00EB4387" w:rsidRPr="00D42C24" w14:paraId="5D8126C4" w14:textId="77777777" w:rsidTr="000F18B7">
        <w:trPr>
          <w:trHeight w:val="327"/>
        </w:trPr>
        <w:tc>
          <w:tcPr>
            <w:tcW w:w="1668" w:type="dxa"/>
            <w:shd w:val="clear" w:color="auto" w:fill="auto"/>
          </w:tcPr>
          <w:p w14:paraId="108E2386" w14:textId="77777777" w:rsidR="00EB4387" w:rsidRPr="00D42C24" w:rsidRDefault="00EB4387" w:rsidP="00773C1D">
            <w:pPr>
              <w:pStyle w:val="Header"/>
              <w:spacing w:before="60"/>
              <w:rPr>
                <w:rFonts w:cs="Arial"/>
                <w:szCs w:val="22"/>
              </w:rPr>
            </w:pPr>
            <w:r>
              <w:rPr>
                <w:rFonts w:cs="Arial"/>
                <w:szCs w:val="22"/>
              </w:rPr>
              <w:t>Medicines</w:t>
            </w:r>
          </w:p>
        </w:tc>
        <w:tc>
          <w:tcPr>
            <w:tcW w:w="7654" w:type="dxa"/>
            <w:shd w:val="clear" w:color="auto" w:fill="auto"/>
            <w:vAlign w:val="bottom"/>
          </w:tcPr>
          <w:p w14:paraId="216DD25F" w14:textId="77777777" w:rsidR="00514EA6" w:rsidRPr="00FD6AEC" w:rsidRDefault="00514EA6" w:rsidP="00514EA6">
            <w:pPr>
              <w:spacing w:before="60"/>
              <w:rPr>
                <w:rFonts w:cs="Arial"/>
              </w:rPr>
            </w:pPr>
            <w:r w:rsidRPr="00FD6AEC">
              <w:rPr>
                <w:rFonts w:cs="Arial"/>
              </w:rPr>
              <w:t>119201 &amp; 119202 Insulin lispro</w:t>
            </w:r>
          </w:p>
          <w:p w14:paraId="0D2C58DD" w14:textId="77777777" w:rsidR="00514EA6" w:rsidRPr="00FD6AEC" w:rsidRDefault="00514EA6" w:rsidP="00514EA6">
            <w:pPr>
              <w:spacing w:before="60"/>
              <w:rPr>
                <w:rFonts w:cs="Arial"/>
              </w:rPr>
            </w:pPr>
            <w:r w:rsidRPr="00FD6AEC">
              <w:rPr>
                <w:rFonts w:cs="Arial"/>
              </w:rPr>
              <w:t>164801 &amp; 164803 Insulin neutral</w:t>
            </w:r>
          </w:p>
          <w:p w14:paraId="7959BB4C" w14:textId="77777777" w:rsidR="00514EA6" w:rsidRPr="00FD6AEC" w:rsidRDefault="00514EA6" w:rsidP="00514EA6">
            <w:pPr>
              <w:spacing w:before="60"/>
              <w:rPr>
                <w:rFonts w:cs="Arial"/>
              </w:rPr>
            </w:pPr>
            <w:r w:rsidRPr="00FD6AEC">
              <w:rPr>
                <w:rFonts w:cs="Arial"/>
              </w:rPr>
              <w:lastRenderedPageBreak/>
              <w:t>164903 &amp; 164904 Insulin isophane</w:t>
            </w:r>
          </w:p>
          <w:p w14:paraId="0273487A" w14:textId="77777777" w:rsidR="00514EA6" w:rsidRPr="00FD6AEC" w:rsidRDefault="00514EA6" w:rsidP="00514EA6">
            <w:pPr>
              <w:spacing w:before="60"/>
              <w:rPr>
                <w:rFonts w:cs="Arial"/>
              </w:rPr>
            </w:pPr>
            <w:r w:rsidRPr="00FD6AEC">
              <w:rPr>
                <w:rFonts w:cs="Arial"/>
              </w:rPr>
              <w:t>165502 Inj crystalline human 100 u per ml</w:t>
            </w:r>
          </w:p>
          <w:p w14:paraId="1BB01929" w14:textId="77777777" w:rsidR="00514EA6" w:rsidRPr="00FD6AEC" w:rsidRDefault="00514EA6" w:rsidP="00514EA6">
            <w:pPr>
              <w:spacing w:before="60"/>
              <w:rPr>
                <w:rFonts w:cs="Arial"/>
              </w:rPr>
            </w:pPr>
            <w:r w:rsidRPr="00FD6AEC">
              <w:rPr>
                <w:rFonts w:cs="Arial"/>
              </w:rPr>
              <w:t>165501 Inj human 100 u per ml</w:t>
            </w:r>
          </w:p>
          <w:p w14:paraId="4DC1ED26" w14:textId="77777777" w:rsidR="00514EA6" w:rsidRPr="00FD6AEC" w:rsidRDefault="00514EA6" w:rsidP="00514EA6">
            <w:pPr>
              <w:spacing w:before="60"/>
              <w:rPr>
                <w:rFonts w:cs="Arial"/>
              </w:rPr>
            </w:pPr>
            <w:r w:rsidRPr="00FD6AEC">
              <w:rPr>
                <w:rFonts w:cs="Arial"/>
              </w:rPr>
              <w:t>378325, 378326 &amp; 378327 Insulin aspart</w:t>
            </w:r>
          </w:p>
          <w:p w14:paraId="23B39E94" w14:textId="77777777" w:rsidR="00514EA6" w:rsidRPr="00FD6AEC" w:rsidRDefault="00514EA6" w:rsidP="00514EA6">
            <w:pPr>
              <w:spacing w:before="60"/>
              <w:rPr>
                <w:rFonts w:cs="Arial"/>
              </w:rPr>
            </w:pPr>
            <w:r w:rsidRPr="00FD6AEC">
              <w:rPr>
                <w:rFonts w:cs="Arial"/>
              </w:rPr>
              <w:t>385725, 385726 &amp; 385727 Insulin glargine</w:t>
            </w:r>
          </w:p>
          <w:p w14:paraId="3CD74A17" w14:textId="77777777" w:rsidR="00514EA6" w:rsidRPr="00FD6AEC" w:rsidRDefault="00514EA6" w:rsidP="00514EA6">
            <w:pPr>
              <w:spacing w:before="60"/>
              <w:rPr>
                <w:rFonts w:cs="Arial"/>
              </w:rPr>
            </w:pPr>
            <w:r w:rsidRPr="00FD6AEC">
              <w:rPr>
                <w:rFonts w:cs="Arial"/>
              </w:rPr>
              <w:t>388225 &amp; 388226 Insulin lispro with insulin lispro protamine</w:t>
            </w:r>
          </w:p>
          <w:p w14:paraId="2A422248" w14:textId="77777777" w:rsidR="00514EA6" w:rsidRPr="00FD6AEC" w:rsidRDefault="00514EA6" w:rsidP="00514EA6">
            <w:pPr>
              <w:spacing w:before="60"/>
              <w:rPr>
                <w:rFonts w:cs="Arial"/>
              </w:rPr>
            </w:pPr>
            <w:r w:rsidRPr="00FD6AEC">
              <w:rPr>
                <w:rFonts w:cs="Arial"/>
              </w:rPr>
              <w:t>390825, 390826 &amp; 390827 Insulin glulisine</w:t>
            </w:r>
          </w:p>
          <w:p w14:paraId="4629FA66" w14:textId="77777777" w:rsidR="00514EA6" w:rsidRPr="00FD6AEC" w:rsidRDefault="00514EA6" w:rsidP="00514EA6">
            <w:pPr>
              <w:spacing w:before="60"/>
              <w:rPr>
                <w:rFonts w:cs="Arial"/>
              </w:rPr>
            </w:pPr>
            <w:r w:rsidRPr="00FD6AEC">
              <w:rPr>
                <w:rFonts w:cs="Arial"/>
              </w:rPr>
              <w:t>398227 Insulin aspart with insulin aspart protamine</w:t>
            </w:r>
          </w:p>
          <w:p w14:paraId="5F1FAEC8" w14:textId="3C5F6256" w:rsidR="00EB4387" w:rsidRPr="00BA4DC9" w:rsidRDefault="00514EA6" w:rsidP="00514EA6">
            <w:pPr>
              <w:spacing w:before="60"/>
            </w:pPr>
            <w:r w:rsidRPr="00FD6AEC">
              <w:rPr>
                <w:rFonts w:cs="Arial"/>
              </w:rPr>
              <w:t>630002 &amp; 630003 Insulin isophane with insulin neutral</w:t>
            </w:r>
            <w:r w:rsidRPr="00BA4DC9">
              <w:t xml:space="preserve"> </w:t>
            </w:r>
          </w:p>
        </w:tc>
      </w:tr>
      <w:tr w:rsidR="00EB4387" w:rsidRPr="00D42C24" w14:paraId="21713000" w14:textId="77777777" w:rsidTr="000F18B7">
        <w:trPr>
          <w:trHeight w:val="327"/>
        </w:trPr>
        <w:tc>
          <w:tcPr>
            <w:tcW w:w="1668" w:type="dxa"/>
            <w:shd w:val="clear" w:color="auto" w:fill="auto"/>
          </w:tcPr>
          <w:p w14:paraId="3EB90D90" w14:textId="77777777" w:rsidR="00EB4387" w:rsidRDefault="00EB4387" w:rsidP="00773C1D">
            <w:pPr>
              <w:pStyle w:val="Header"/>
              <w:spacing w:before="60"/>
              <w:rPr>
                <w:rFonts w:cs="Arial"/>
                <w:szCs w:val="22"/>
              </w:rPr>
            </w:pPr>
            <w:r>
              <w:rPr>
                <w:rFonts w:cs="Arial"/>
                <w:szCs w:val="22"/>
              </w:rPr>
              <w:lastRenderedPageBreak/>
              <w:t xml:space="preserve">Rationale </w:t>
            </w:r>
          </w:p>
        </w:tc>
        <w:tc>
          <w:tcPr>
            <w:tcW w:w="7654" w:type="dxa"/>
            <w:shd w:val="clear" w:color="auto" w:fill="auto"/>
            <w:vAlign w:val="bottom"/>
          </w:tcPr>
          <w:p w14:paraId="5C4A176A" w14:textId="3EFE9EEF" w:rsidR="00EB4387" w:rsidRDefault="00EB4387" w:rsidP="00773C1D">
            <w:pPr>
              <w:spacing w:before="60"/>
            </w:pPr>
            <w:r>
              <w:t>Understanding the reasons behind variations in insulin is important as it can give some insights into differences in the quality of care received by people with diabetes. It helps to develop strategies that promote effective diabetes management, ensure equitable access to insulin therapy when needed, and enhance patient outcomes. Some reasons for variation in insulin usage include diabetes type, patient acceptance, adherence, and physician preferences.</w:t>
            </w:r>
          </w:p>
        </w:tc>
      </w:tr>
      <w:tr w:rsidR="00EB4387" w:rsidRPr="00D42C24" w14:paraId="7E5C0396" w14:textId="77777777" w:rsidTr="000F18B7">
        <w:trPr>
          <w:trHeight w:val="327"/>
        </w:trPr>
        <w:tc>
          <w:tcPr>
            <w:tcW w:w="1668" w:type="dxa"/>
            <w:shd w:val="clear" w:color="auto" w:fill="auto"/>
          </w:tcPr>
          <w:p w14:paraId="0E4B3876" w14:textId="77777777" w:rsidR="00EB4387" w:rsidRDefault="00EB4387" w:rsidP="00773C1D">
            <w:pPr>
              <w:pStyle w:val="Header"/>
              <w:spacing w:before="60"/>
              <w:rPr>
                <w:rFonts w:cs="Arial"/>
                <w:szCs w:val="22"/>
              </w:rPr>
            </w:pPr>
            <w:r>
              <w:rPr>
                <w:rFonts w:cs="Arial"/>
                <w:szCs w:val="22"/>
              </w:rPr>
              <w:t>Commentary</w:t>
            </w:r>
          </w:p>
        </w:tc>
        <w:tc>
          <w:tcPr>
            <w:tcW w:w="7654" w:type="dxa"/>
            <w:shd w:val="clear" w:color="auto" w:fill="auto"/>
            <w:vAlign w:val="bottom"/>
          </w:tcPr>
          <w:p w14:paraId="6B6B1C12" w14:textId="77777777" w:rsidR="00514EA6" w:rsidRPr="00FD6AEC" w:rsidRDefault="00514EA6" w:rsidP="00514EA6">
            <w:pPr>
              <w:spacing w:before="60"/>
              <w:rPr>
                <w:rFonts w:cs="Arial"/>
              </w:rPr>
            </w:pPr>
            <w:bookmarkStart w:id="2" w:name="_Hlk156899753"/>
            <w:r w:rsidRPr="00FD6AEC">
              <w:rPr>
                <w:rFonts w:cs="Arial"/>
              </w:rPr>
              <w:t>Description:</w:t>
            </w:r>
          </w:p>
          <w:p w14:paraId="0720D54E" w14:textId="77777777" w:rsidR="00514EA6" w:rsidRPr="00FD6AEC" w:rsidRDefault="00514EA6" w:rsidP="00514EA6">
            <w:pPr>
              <w:spacing w:before="60"/>
              <w:rPr>
                <w:rFonts w:cs="Arial"/>
              </w:rPr>
            </w:pPr>
            <w:r w:rsidRPr="00FD6AEC">
              <w:rPr>
                <w:rFonts w:cs="Arial"/>
              </w:rPr>
              <w:t>This indicator shows the number and percent of people with diabetes dispensed insulin regularly. Regular use was defined as insulin dispensed in three or more quarters in a year.</w:t>
            </w:r>
          </w:p>
          <w:p w14:paraId="523277B3" w14:textId="77777777" w:rsidR="00514EA6" w:rsidRPr="00FD6AEC" w:rsidRDefault="00514EA6" w:rsidP="00653FE2">
            <w:pPr>
              <w:spacing w:before="240"/>
              <w:rPr>
                <w:rFonts w:cs="Arial"/>
              </w:rPr>
            </w:pPr>
            <w:r w:rsidRPr="00FD6AEC">
              <w:rPr>
                <w:rFonts w:cs="Arial"/>
              </w:rPr>
              <w:t xml:space="preserve">Note: </w:t>
            </w:r>
          </w:p>
          <w:p w14:paraId="7526F5A6" w14:textId="77777777" w:rsidR="00514EA6" w:rsidRPr="00FD6AEC" w:rsidRDefault="00514EA6" w:rsidP="00514EA6">
            <w:pPr>
              <w:spacing w:before="60"/>
              <w:rPr>
                <w:rFonts w:cs="Arial"/>
                <w:color w:val="000000"/>
              </w:rPr>
            </w:pPr>
            <w:r w:rsidRPr="00FD6AEC">
              <w:rPr>
                <w:rFonts w:cs="Arial"/>
              </w:rPr>
              <w:t>I</w:t>
            </w:r>
            <w:r w:rsidRPr="00FD6AEC">
              <w:rPr>
                <w:rFonts w:cs="Arial"/>
                <w:color w:val="000000"/>
              </w:rPr>
              <w:t>nsulin is also used to treat gestational diabetes and therefore women dispensed insulin around the time of birth have not been included.</w:t>
            </w:r>
          </w:p>
          <w:p w14:paraId="21CD9C36" w14:textId="77777777" w:rsidR="00514EA6" w:rsidRPr="00FD6AEC" w:rsidRDefault="00514EA6" w:rsidP="00653FE2">
            <w:pPr>
              <w:spacing w:before="240"/>
              <w:rPr>
                <w:rFonts w:cs="Arial"/>
                <w:color w:val="000000"/>
              </w:rPr>
            </w:pPr>
            <w:r w:rsidRPr="00FD6AEC">
              <w:rPr>
                <w:rFonts w:cs="Arial"/>
                <w:color w:val="000000"/>
              </w:rPr>
              <w:t>Why is this indicator important?</w:t>
            </w:r>
          </w:p>
          <w:p w14:paraId="67EE980F" w14:textId="492400B4" w:rsidR="00514EA6" w:rsidRPr="00FD6AEC" w:rsidRDefault="00514EA6" w:rsidP="00514EA6">
            <w:pPr>
              <w:spacing w:before="60"/>
              <w:rPr>
                <w:rFonts w:cs="Arial"/>
              </w:rPr>
            </w:pPr>
            <w:r w:rsidRPr="00FD6AEC">
              <w:rPr>
                <w:rFonts w:cs="Arial"/>
              </w:rPr>
              <w:t xml:space="preserve">Insulin is a critical component of diabetes management. It is increasingly being used to maintain good </w:t>
            </w:r>
            <w:r w:rsidR="002F79EA" w:rsidRPr="00FD6AEC">
              <w:rPr>
                <w:rFonts w:cs="Arial"/>
              </w:rPr>
              <w:t>glycaemic</w:t>
            </w:r>
            <w:r w:rsidRPr="00FD6AEC">
              <w:rPr>
                <w:rFonts w:cs="Arial"/>
              </w:rPr>
              <w:t xml:space="preserve"> control in people with type 2 diabetes and is the primary treatment for people with type 1 diabetes. Wide variations in insulin usage indicate disparities in care.</w:t>
            </w:r>
          </w:p>
          <w:p w14:paraId="59EAC69C" w14:textId="77777777" w:rsidR="00514EA6" w:rsidRPr="00FD6AEC" w:rsidRDefault="00514EA6" w:rsidP="00653FE2">
            <w:pPr>
              <w:spacing w:before="240"/>
              <w:rPr>
                <w:rFonts w:cs="Arial"/>
                <w:color w:val="000000"/>
              </w:rPr>
            </w:pPr>
            <w:r w:rsidRPr="00FD6AEC">
              <w:rPr>
                <w:rFonts w:cs="Arial"/>
                <w:color w:val="000000"/>
              </w:rPr>
              <w:t>What questions does this prompt?</w:t>
            </w:r>
          </w:p>
          <w:p w14:paraId="1ED2284A" w14:textId="5AEDE0F2" w:rsidR="00514EA6" w:rsidRPr="00FD6AEC" w:rsidRDefault="00514EA6" w:rsidP="00653FE2">
            <w:pPr>
              <w:pStyle w:val="ListParagraph"/>
              <w:numPr>
                <w:ilvl w:val="0"/>
                <w:numId w:val="4"/>
              </w:numPr>
              <w:spacing w:before="60" w:after="60"/>
              <w:ind w:left="357" w:hanging="357"/>
              <w:contextualSpacing w:val="0"/>
            </w:pPr>
            <w:r w:rsidRPr="00FD6AEC">
              <w:t xml:space="preserve">How much variation can be explained by </w:t>
            </w:r>
            <w:r w:rsidR="004653E9">
              <w:t>prominent type of diabetes?</w:t>
            </w:r>
          </w:p>
          <w:p w14:paraId="7F605BA5" w14:textId="77777777" w:rsidR="00514EA6" w:rsidRPr="00FD6AEC" w:rsidRDefault="00514EA6" w:rsidP="00653FE2">
            <w:pPr>
              <w:pStyle w:val="ListParagraph"/>
              <w:numPr>
                <w:ilvl w:val="0"/>
                <w:numId w:val="4"/>
              </w:numPr>
              <w:spacing w:before="60" w:after="60"/>
              <w:ind w:left="357" w:hanging="357"/>
              <w:contextualSpacing w:val="0"/>
              <w:rPr>
                <w:color w:val="000000"/>
              </w:rPr>
            </w:pPr>
            <w:r w:rsidRPr="00FD6AEC">
              <w:rPr>
                <w:color w:val="000000"/>
              </w:rPr>
              <w:t>Are there any barriers or misconceptions regarding insulin use?</w:t>
            </w:r>
          </w:p>
          <w:p w14:paraId="7574011F" w14:textId="36250091" w:rsidR="00EB4387" w:rsidRPr="00653FE2" w:rsidRDefault="00514EA6" w:rsidP="00575C58">
            <w:pPr>
              <w:pStyle w:val="ListParagraph"/>
              <w:numPr>
                <w:ilvl w:val="0"/>
                <w:numId w:val="4"/>
              </w:numPr>
              <w:spacing w:before="60" w:after="60"/>
              <w:rPr>
                <w:color w:val="000000"/>
              </w:rPr>
            </w:pPr>
            <w:r w:rsidRPr="00FD6AEC">
              <w:rPr>
                <w:color w:val="000000"/>
              </w:rPr>
              <w:t>What are the factors that influence insulin use decisions among different patient populations?</w:t>
            </w:r>
            <w:bookmarkEnd w:id="2"/>
          </w:p>
        </w:tc>
      </w:tr>
    </w:tbl>
    <w:p w14:paraId="648C3217" w14:textId="77777777" w:rsidR="00EB4387" w:rsidRDefault="00EB4387" w:rsidP="0000087A">
      <w:pPr>
        <w:rPr>
          <w:rFonts w:cs="Arial"/>
          <w:szCs w:val="22"/>
        </w:rPr>
      </w:pPr>
    </w:p>
    <w:tbl>
      <w:tblPr>
        <w:tblW w:w="932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A0" w:firstRow="1" w:lastRow="0" w:firstColumn="1" w:lastColumn="0" w:noHBand="0" w:noVBand="0"/>
      </w:tblPr>
      <w:tblGrid>
        <w:gridCol w:w="1668"/>
        <w:gridCol w:w="7654"/>
      </w:tblGrid>
      <w:tr w:rsidR="00EB4387" w:rsidRPr="00D42C24" w14:paraId="6C8E0737" w14:textId="77777777" w:rsidTr="000F18B7">
        <w:trPr>
          <w:trHeight w:val="327"/>
        </w:trPr>
        <w:tc>
          <w:tcPr>
            <w:tcW w:w="1668" w:type="dxa"/>
            <w:shd w:val="clear" w:color="auto" w:fill="auto"/>
          </w:tcPr>
          <w:p w14:paraId="4BF25280" w14:textId="55AFA053" w:rsidR="00EB4387" w:rsidRPr="00EB4387" w:rsidRDefault="00EB4387" w:rsidP="00773C1D">
            <w:pPr>
              <w:pStyle w:val="Header"/>
              <w:spacing w:before="60"/>
              <w:rPr>
                <w:rFonts w:cs="Arial"/>
                <w:b/>
                <w:szCs w:val="22"/>
              </w:rPr>
            </w:pPr>
            <w:r w:rsidRPr="00EB4387">
              <w:rPr>
                <w:rFonts w:cs="Arial"/>
                <w:b/>
                <w:szCs w:val="22"/>
              </w:rPr>
              <w:br w:type="page"/>
            </w:r>
            <w:r w:rsidRPr="00D42C24">
              <w:rPr>
                <w:rFonts w:cs="Arial"/>
                <w:b/>
                <w:szCs w:val="22"/>
              </w:rPr>
              <w:t>Indicator #</w:t>
            </w:r>
            <w:r w:rsidR="00B060BD">
              <w:rPr>
                <w:rFonts w:cs="Arial"/>
                <w:b/>
                <w:szCs w:val="22"/>
              </w:rPr>
              <w:t>8</w:t>
            </w:r>
            <w:r w:rsidRPr="00D42C24">
              <w:rPr>
                <w:rFonts w:cs="Arial"/>
                <w:b/>
                <w:szCs w:val="22"/>
              </w:rPr>
              <w:t>:</w:t>
            </w:r>
          </w:p>
        </w:tc>
        <w:tc>
          <w:tcPr>
            <w:tcW w:w="7654" w:type="dxa"/>
            <w:shd w:val="clear" w:color="auto" w:fill="auto"/>
            <w:vAlign w:val="bottom"/>
          </w:tcPr>
          <w:p w14:paraId="2A53D137" w14:textId="0F54693A" w:rsidR="00EB4387" w:rsidRPr="00EB4387" w:rsidRDefault="00EB4387" w:rsidP="00773C1D">
            <w:pPr>
              <w:pStyle w:val="Header"/>
              <w:spacing w:before="60"/>
              <w:rPr>
                <w:rFonts w:cs="Arial"/>
                <w:color w:val="000000"/>
                <w:szCs w:val="22"/>
              </w:rPr>
            </w:pPr>
            <w:r w:rsidRPr="00EB4387">
              <w:rPr>
                <w:rFonts w:cs="Arial"/>
                <w:color w:val="000000"/>
                <w:szCs w:val="22"/>
              </w:rPr>
              <w:t>People with diabetes regularly</w:t>
            </w:r>
            <w:r w:rsidRPr="00223369">
              <w:rPr>
                <w:rStyle w:val="FootnoteReference"/>
                <w:rFonts w:cs="Arial"/>
                <w:color w:val="000000"/>
                <w:szCs w:val="22"/>
              </w:rPr>
              <w:footnoteReference w:id="3"/>
            </w:r>
            <w:r w:rsidRPr="00EB4387">
              <w:rPr>
                <w:rFonts w:cs="Arial"/>
                <w:color w:val="000000"/>
                <w:szCs w:val="22"/>
              </w:rPr>
              <w:t xml:space="preserve"> receiving any </w:t>
            </w:r>
            <w:r w:rsidR="002F79EA" w:rsidRPr="00EB4387">
              <w:rPr>
                <w:rFonts w:cs="Arial"/>
                <w:color w:val="000000"/>
                <w:szCs w:val="22"/>
              </w:rPr>
              <w:t>hypoglycaemic</w:t>
            </w:r>
            <w:r w:rsidRPr="00EB4387">
              <w:rPr>
                <w:rFonts w:cs="Arial"/>
                <w:color w:val="000000"/>
                <w:szCs w:val="22"/>
              </w:rPr>
              <w:t xml:space="preserve"> medication in the relevant year</w:t>
            </w:r>
          </w:p>
        </w:tc>
      </w:tr>
      <w:tr w:rsidR="00EB4387" w:rsidRPr="00D42C24" w14:paraId="235D29EF" w14:textId="77777777" w:rsidTr="000F18B7">
        <w:trPr>
          <w:trHeight w:val="327"/>
        </w:trPr>
        <w:tc>
          <w:tcPr>
            <w:tcW w:w="1668" w:type="dxa"/>
            <w:shd w:val="clear" w:color="auto" w:fill="auto"/>
          </w:tcPr>
          <w:p w14:paraId="1FB7B9D3" w14:textId="77777777" w:rsidR="00EB4387" w:rsidRPr="00EB4387" w:rsidRDefault="00EB4387" w:rsidP="00773C1D">
            <w:pPr>
              <w:pStyle w:val="Header"/>
              <w:spacing w:before="60"/>
              <w:rPr>
                <w:rFonts w:cs="Arial"/>
                <w:b/>
                <w:szCs w:val="22"/>
              </w:rPr>
            </w:pPr>
            <w:r w:rsidRPr="00EB4387">
              <w:rPr>
                <w:rFonts w:cs="Arial"/>
                <w:b/>
                <w:szCs w:val="22"/>
              </w:rPr>
              <w:t>Numerator</w:t>
            </w:r>
          </w:p>
        </w:tc>
        <w:tc>
          <w:tcPr>
            <w:tcW w:w="7654" w:type="dxa"/>
            <w:shd w:val="clear" w:color="auto" w:fill="auto"/>
            <w:vAlign w:val="bottom"/>
          </w:tcPr>
          <w:p w14:paraId="66609C68" w14:textId="34559550" w:rsidR="00EB4387" w:rsidRPr="00D42C24" w:rsidRDefault="00EB4387" w:rsidP="00773C1D">
            <w:pPr>
              <w:pStyle w:val="Header"/>
              <w:spacing w:before="60"/>
              <w:rPr>
                <w:rFonts w:cs="Arial"/>
                <w:color w:val="000000"/>
                <w:szCs w:val="22"/>
              </w:rPr>
            </w:pPr>
            <w:r w:rsidRPr="00EB4387">
              <w:rPr>
                <w:rFonts w:cs="Arial"/>
                <w:color w:val="000000"/>
                <w:szCs w:val="22"/>
              </w:rPr>
              <w:t xml:space="preserve">People with diabetes dispensed any </w:t>
            </w:r>
            <w:r w:rsidR="002F79EA" w:rsidRPr="00EB4387">
              <w:rPr>
                <w:rFonts w:cs="Arial"/>
                <w:color w:val="000000"/>
                <w:szCs w:val="22"/>
              </w:rPr>
              <w:t>hypoglycaemic</w:t>
            </w:r>
            <w:r w:rsidRPr="00EB4387">
              <w:rPr>
                <w:rFonts w:cs="Arial"/>
                <w:color w:val="000000"/>
                <w:szCs w:val="22"/>
              </w:rPr>
              <w:t xml:space="preserve"> medication in three or four quarters in the relevant year</w:t>
            </w:r>
          </w:p>
        </w:tc>
      </w:tr>
      <w:tr w:rsidR="00EB4387" w:rsidRPr="00D42C24" w14:paraId="728FD46E" w14:textId="77777777" w:rsidTr="000F18B7">
        <w:trPr>
          <w:trHeight w:val="327"/>
        </w:trPr>
        <w:tc>
          <w:tcPr>
            <w:tcW w:w="1668" w:type="dxa"/>
            <w:shd w:val="clear" w:color="auto" w:fill="auto"/>
          </w:tcPr>
          <w:p w14:paraId="481E7BBB" w14:textId="77777777" w:rsidR="00EB4387" w:rsidRPr="00EB4387" w:rsidRDefault="00EB4387" w:rsidP="00773C1D">
            <w:pPr>
              <w:pStyle w:val="Header"/>
              <w:spacing w:before="60"/>
              <w:rPr>
                <w:rFonts w:cs="Arial"/>
                <w:b/>
                <w:szCs w:val="22"/>
              </w:rPr>
            </w:pPr>
            <w:r w:rsidRPr="00EB4387">
              <w:rPr>
                <w:rFonts w:cs="Arial"/>
                <w:b/>
                <w:szCs w:val="22"/>
              </w:rPr>
              <w:t>Denominator</w:t>
            </w:r>
          </w:p>
        </w:tc>
        <w:tc>
          <w:tcPr>
            <w:tcW w:w="7654" w:type="dxa"/>
            <w:shd w:val="clear" w:color="auto" w:fill="auto"/>
            <w:vAlign w:val="bottom"/>
          </w:tcPr>
          <w:p w14:paraId="547DA0D4" w14:textId="77777777" w:rsidR="00EB4387" w:rsidRPr="00D42C24" w:rsidRDefault="00EB4387" w:rsidP="00773C1D">
            <w:pPr>
              <w:pStyle w:val="Header"/>
              <w:spacing w:before="60"/>
              <w:rPr>
                <w:rFonts w:cs="Arial"/>
                <w:color w:val="000000"/>
                <w:szCs w:val="22"/>
              </w:rPr>
            </w:pPr>
            <w:r w:rsidRPr="00EB4387">
              <w:rPr>
                <w:rFonts w:cs="Arial"/>
                <w:color w:val="000000"/>
                <w:szCs w:val="22"/>
              </w:rPr>
              <w:t>Count of distinct master NHIs</w:t>
            </w:r>
            <w:r w:rsidRPr="00EB4387" w:rsidDel="00114E54">
              <w:rPr>
                <w:rFonts w:cs="Arial"/>
                <w:color w:val="000000"/>
                <w:szCs w:val="22"/>
              </w:rPr>
              <w:t xml:space="preserve"> </w:t>
            </w:r>
            <w:r w:rsidRPr="00EB4387">
              <w:rPr>
                <w:rFonts w:cs="Arial"/>
                <w:color w:val="000000"/>
                <w:szCs w:val="22"/>
              </w:rPr>
              <w:t xml:space="preserve">identified as having diabetes as per the VDR </w:t>
            </w:r>
          </w:p>
        </w:tc>
      </w:tr>
      <w:tr w:rsidR="00EB4387" w:rsidRPr="00D42C24" w14:paraId="1FD85A8C" w14:textId="77777777" w:rsidTr="000F18B7">
        <w:trPr>
          <w:trHeight w:val="327"/>
        </w:trPr>
        <w:tc>
          <w:tcPr>
            <w:tcW w:w="1668" w:type="dxa"/>
            <w:shd w:val="clear" w:color="auto" w:fill="auto"/>
          </w:tcPr>
          <w:p w14:paraId="12D583FD" w14:textId="77777777" w:rsidR="00EB4387" w:rsidRPr="00EB4387" w:rsidRDefault="00EB4387" w:rsidP="00773C1D">
            <w:pPr>
              <w:pStyle w:val="Header"/>
              <w:spacing w:before="60"/>
              <w:rPr>
                <w:rFonts w:cs="Arial"/>
                <w:b/>
                <w:szCs w:val="22"/>
              </w:rPr>
            </w:pPr>
            <w:r w:rsidRPr="00EB4387">
              <w:rPr>
                <w:rFonts w:cs="Arial"/>
                <w:b/>
                <w:szCs w:val="22"/>
              </w:rPr>
              <w:lastRenderedPageBreak/>
              <w:t>By variables</w:t>
            </w:r>
          </w:p>
        </w:tc>
        <w:tc>
          <w:tcPr>
            <w:tcW w:w="7654" w:type="dxa"/>
            <w:shd w:val="clear" w:color="auto" w:fill="auto"/>
            <w:vAlign w:val="bottom"/>
          </w:tcPr>
          <w:p w14:paraId="16F2FA41" w14:textId="450696B0" w:rsidR="00223369" w:rsidRDefault="00223369" w:rsidP="00223369">
            <w:pPr>
              <w:pStyle w:val="Header"/>
              <w:spacing w:before="60"/>
            </w:pPr>
            <w:r>
              <w:t>For single map analysis: By year (</w:t>
            </w:r>
            <w:r w:rsidR="00481942">
              <w:t>2018‒22</w:t>
            </w:r>
            <w:r>
              <w:t>), age group (</w:t>
            </w:r>
            <w:r w:rsidR="00481942">
              <w:t>0‒14</w:t>
            </w:r>
            <w:r>
              <w:t xml:space="preserve"> years, </w:t>
            </w:r>
            <w:r w:rsidR="00481942">
              <w:t>15‒24</w:t>
            </w:r>
            <w:r>
              <w:t xml:space="preserve"> years, </w:t>
            </w:r>
            <w:r w:rsidR="00481942">
              <w:t>25‒44</w:t>
            </w:r>
            <w:r>
              <w:t xml:space="preserve"> years, </w:t>
            </w:r>
            <w:r w:rsidR="00481942">
              <w:t>45‒64</w:t>
            </w:r>
            <w:r>
              <w:t xml:space="preserve"> years, </w:t>
            </w:r>
            <w:r w:rsidR="00481942">
              <w:t>65‒74</w:t>
            </w:r>
            <w:r>
              <w:t xml:space="preserve"> years and 75+ years), gender (female and male), ethnic group (Māori, Pacific peoples, Indian and </w:t>
            </w:r>
            <w:r w:rsidR="00481942">
              <w:t>European/other</w:t>
            </w:r>
            <w:r>
              <w:t>) and Health New Zealand district of domicile</w:t>
            </w:r>
            <w:r w:rsidR="00773C75">
              <w:t>.</w:t>
            </w:r>
            <w:r>
              <w:t xml:space="preserve"> </w:t>
            </w:r>
          </w:p>
          <w:p w14:paraId="28780804" w14:textId="677445BD" w:rsidR="00EB4387" w:rsidRPr="00EB4387" w:rsidRDefault="00223369" w:rsidP="00514EA6">
            <w:pPr>
              <w:pStyle w:val="Header"/>
              <w:spacing w:before="60"/>
              <w:rPr>
                <w:rFonts w:cs="Arial"/>
                <w:color w:val="000000"/>
                <w:szCs w:val="22"/>
              </w:rPr>
            </w:pPr>
            <w:r>
              <w:t>For PHO analysis: By year (2022), age group (</w:t>
            </w:r>
            <w:r w:rsidR="00481942">
              <w:t>0‒14</w:t>
            </w:r>
            <w:r>
              <w:t xml:space="preserve"> years, </w:t>
            </w:r>
            <w:r w:rsidR="00481942">
              <w:t>15‒24</w:t>
            </w:r>
            <w:r>
              <w:t xml:space="preserve"> years, </w:t>
            </w:r>
            <w:r w:rsidR="00481942">
              <w:t>25‒44</w:t>
            </w:r>
            <w:r>
              <w:t xml:space="preserve"> years, </w:t>
            </w:r>
            <w:r w:rsidR="00481942">
              <w:t>45‒64</w:t>
            </w:r>
            <w:r>
              <w:t xml:space="preserve"> years, </w:t>
            </w:r>
            <w:r w:rsidR="00481942">
              <w:t>65‒74</w:t>
            </w:r>
            <w:r>
              <w:t xml:space="preserve"> years and 75+ years), gender (female and male), ethnic group (Māori, Pacific peoples, Indian and </w:t>
            </w:r>
            <w:r w:rsidR="00481942">
              <w:t>European/other</w:t>
            </w:r>
            <w:r>
              <w:t xml:space="preserve">), PHO most recently enrolled with (for the relevant year), PHO group (small, medium, </w:t>
            </w:r>
            <w:r w:rsidR="007E5C3B">
              <w:t>medium‒large</w:t>
            </w:r>
            <w:r>
              <w:t xml:space="preserve"> and large).</w:t>
            </w:r>
          </w:p>
        </w:tc>
      </w:tr>
      <w:tr w:rsidR="00EB4387" w:rsidRPr="00D42C24" w14:paraId="7FAEF05F" w14:textId="77777777" w:rsidTr="000F18B7">
        <w:trPr>
          <w:trHeight w:val="327"/>
        </w:trPr>
        <w:tc>
          <w:tcPr>
            <w:tcW w:w="1668" w:type="dxa"/>
            <w:shd w:val="clear" w:color="auto" w:fill="auto"/>
          </w:tcPr>
          <w:p w14:paraId="4A165F36" w14:textId="77777777" w:rsidR="00EB4387" w:rsidRPr="00EB4387" w:rsidRDefault="00EB4387" w:rsidP="00773C1D">
            <w:pPr>
              <w:pStyle w:val="Header"/>
              <w:spacing w:before="60"/>
              <w:rPr>
                <w:rFonts w:cs="Arial"/>
                <w:b/>
                <w:szCs w:val="22"/>
              </w:rPr>
            </w:pPr>
            <w:r w:rsidRPr="00EB4387">
              <w:rPr>
                <w:rFonts w:cs="Arial"/>
                <w:b/>
                <w:szCs w:val="22"/>
              </w:rPr>
              <w:t>Data source</w:t>
            </w:r>
          </w:p>
        </w:tc>
        <w:tc>
          <w:tcPr>
            <w:tcW w:w="7654" w:type="dxa"/>
            <w:shd w:val="clear" w:color="auto" w:fill="auto"/>
            <w:vAlign w:val="bottom"/>
          </w:tcPr>
          <w:p w14:paraId="574F76DA" w14:textId="58DFFE60" w:rsidR="00EB4387" w:rsidRPr="00EB4387" w:rsidRDefault="00EB4387" w:rsidP="004E0299">
            <w:pPr>
              <w:pStyle w:val="Header"/>
              <w:spacing w:before="60"/>
              <w:rPr>
                <w:rFonts w:cs="Arial"/>
                <w:color w:val="000000"/>
                <w:szCs w:val="22"/>
              </w:rPr>
            </w:pPr>
            <w:r w:rsidRPr="00EB4387">
              <w:rPr>
                <w:rFonts w:cs="Arial"/>
                <w:color w:val="000000"/>
                <w:szCs w:val="22"/>
              </w:rPr>
              <w:t>Pharmaceutical Collection</w:t>
            </w:r>
          </w:p>
          <w:p w14:paraId="01499A3E" w14:textId="19EA314E" w:rsidR="00EB4387" w:rsidRPr="00EB4387" w:rsidRDefault="00EB4387" w:rsidP="00514EA6">
            <w:pPr>
              <w:pStyle w:val="Header"/>
              <w:rPr>
                <w:rFonts w:cs="Arial"/>
                <w:color w:val="000000"/>
                <w:szCs w:val="22"/>
              </w:rPr>
            </w:pPr>
            <w:r w:rsidRPr="00EB4387">
              <w:rPr>
                <w:rFonts w:cs="Arial"/>
                <w:color w:val="000000"/>
                <w:szCs w:val="22"/>
              </w:rPr>
              <w:t>VDR</w:t>
            </w:r>
          </w:p>
        </w:tc>
      </w:tr>
      <w:tr w:rsidR="00EB4387" w:rsidRPr="00D42C24" w14:paraId="63D0878C" w14:textId="77777777" w:rsidTr="000F18B7">
        <w:trPr>
          <w:trHeight w:val="327"/>
        </w:trPr>
        <w:tc>
          <w:tcPr>
            <w:tcW w:w="1668" w:type="dxa"/>
            <w:shd w:val="clear" w:color="auto" w:fill="auto"/>
          </w:tcPr>
          <w:p w14:paraId="75486106" w14:textId="77777777" w:rsidR="00EB4387" w:rsidRPr="00EB4387" w:rsidRDefault="00EB4387" w:rsidP="00773C1D">
            <w:pPr>
              <w:pStyle w:val="Header"/>
              <w:spacing w:before="60"/>
              <w:rPr>
                <w:rFonts w:cs="Arial"/>
                <w:b/>
                <w:szCs w:val="22"/>
              </w:rPr>
            </w:pPr>
            <w:r w:rsidRPr="00EB4387">
              <w:rPr>
                <w:rFonts w:cs="Arial"/>
                <w:b/>
                <w:szCs w:val="22"/>
              </w:rPr>
              <w:t>Medicines</w:t>
            </w:r>
          </w:p>
        </w:tc>
        <w:tc>
          <w:tcPr>
            <w:tcW w:w="7654" w:type="dxa"/>
            <w:shd w:val="clear" w:color="auto" w:fill="auto"/>
            <w:vAlign w:val="bottom"/>
          </w:tcPr>
          <w:p w14:paraId="112167B0" w14:textId="4950B584" w:rsidR="00514EA6" w:rsidRPr="00514EA6" w:rsidRDefault="00514EA6" w:rsidP="00C21449">
            <w:pPr>
              <w:pStyle w:val="Header"/>
              <w:spacing w:before="60"/>
              <w:rPr>
                <w:rFonts w:cs="Arial"/>
                <w:color w:val="000000"/>
                <w:szCs w:val="22"/>
              </w:rPr>
            </w:pPr>
            <w:r w:rsidRPr="00514EA6">
              <w:rPr>
                <w:rFonts w:cs="Arial"/>
                <w:color w:val="000000"/>
                <w:szCs w:val="22"/>
              </w:rPr>
              <w:t xml:space="preserve">179401 &amp; 179402 </w:t>
            </w:r>
            <w:r w:rsidR="00C91709">
              <w:rPr>
                <w:rFonts w:cs="Arial"/>
                <w:color w:val="000000"/>
                <w:szCs w:val="22"/>
              </w:rPr>
              <w:t>m</w:t>
            </w:r>
            <w:r w:rsidRPr="00514EA6">
              <w:rPr>
                <w:rFonts w:cs="Arial"/>
                <w:color w:val="000000"/>
                <w:szCs w:val="22"/>
              </w:rPr>
              <w:t>etformin hydrochloride</w:t>
            </w:r>
          </w:p>
          <w:p w14:paraId="49939724" w14:textId="010FDEB9" w:rsidR="00514EA6" w:rsidRPr="00514EA6" w:rsidRDefault="00514EA6" w:rsidP="00514EA6">
            <w:pPr>
              <w:pStyle w:val="Header"/>
              <w:rPr>
                <w:rFonts w:cs="Arial"/>
                <w:color w:val="000000"/>
                <w:szCs w:val="22"/>
              </w:rPr>
            </w:pPr>
            <w:r w:rsidRPr="00514EA6">
              <w:rPr>
                <w:rFonts w:cs="Arial"/>
                <w:color w:val="000000"/>
                <w:szCs w:val="22"/>
              </w:rPr>
              <w:t xml:space="preserve">124701 &amp; 124702 </w:t>
            </w:r>
            <w:r w:rsidR="00C91709">
              <w:rPr>
                <w:rFonts w:cs="Arial"/>
                <w:color w:val="000000"/>
                <w:szCs w:val="22"/>
              </w:rPr>
              <w:t>a</w:t>
            </w:r>
            <w:r w:rsidRPr="00514EA6">
              <w:rPr>
                <w:rFonts w:cs="Arial"/>
                <w:color w:val="000000"/>
                <w:szCs w:val="22"/>
              </w:rPr>
              <w:t>carbose</w:t>
            </w:r>
          </w:p>
          <w:p w14:paraId="3E1A0F81" w14:textId="2A955E5F" w:rsidR="00514EA6" w:rsidRPr="00514EA6" w:rsidRDefault="00514EA6" w:rsidP="00514EA6">
            <w:pPr>
              <w:pStyle w:val="Header"/>
              <w:rPr>
                <w:rFonts w:cs="Arial"/>
                <w:color w:val="000000"/>
                <w:szCs w:val="22"/>
              </w:rPr>
            </w:pPr>
            <w:r w:rsidRPr="00514EA6">
              <w:rPr>
                <w:rFonts w:cs="Arial"/>
                <w:color w:val="000000"/>
                <w:szCs w:val="22"/>
              </w:rPr>
              <w:t xml:space="preserve">414925 </w:t>
            </w:r>
            <w:r w:rsidR="00C91709">
              <w:rPr>
                <w:rFonts w:cs="Arial"/>
                <w:color w:val="000000"/>
                <w:szCs w:val="22"/>
              </w:rPr>
              <w:t>d</w:t>
            </w:r>
            <w:r w:rsidRPr="00514EA6">
              <w:rPr>
                <w:rFonts w:cs="Arial"/>
                <w:color w:val="000000"/>
                <w:szCs w:val="22"/>
              </w:rPr>
              <w:t>ulaglutide</w:t>
            </w:r>
          </w:p>
          <w:p w14:paraId="08D19006" w14:textId="4FF944D8" w:rsidR="00514EA6" w:rsidRPr="00514EA6" w:rsidRDefault="00514EA6" w:rsidP="00514EA6">
            <w:pPr>
              <w:pStyle w:val="Header"/>
              <w:rPr>
                <w:rFonts w:cs="Arial"/>
                <w:color w:val="000000"/>
                <w:szCs w:val="22"/>
              </w:rPr>
            </w:pPr>
            <w:r w:rsidRPr="00514EA6">
              <w:rPr>
                <w:rFonts w:cs="Arial"/>
                <w:color w:val="000000"/>
                <w:szCs w:val="22"/>
              </w:rPr>
              <w:t xml:space="preserve">413725 &amp; 413726 </w:t>
            </w:r>
            <w:r w:rsidR="00C91709">
              <w:rPr>
                <w:rFonts w:cs="Arial"/>
                <w:color w:val="000000"/>
                <w:szCs w:val="22"/>
              </w:rPr>
              <w:t>e</w:t>
            </w:r>
            <w:r w:rsidRPr="00514EA6">
              <w:rPr>
                <w:rFonts w:cs="Arial"/>
                <w:color w:val="000000"/>
                <w:szCs w:val="22"/>
              </w:rPr>
              <w:t xml:space="preserve">mpagliflozin </w:t>
            </w:r>
          </w:p>
          <w:p w14:paraId="6A8EE695" w14:textId="3CF758EF" w:rsidR="00514EA6" w:rsidRPr="00514EA6" w:rsidRDefault="00514EA6" w:rsidP="00514EA6">
            <w:pPr>
              <w:pStyle w:val="Header"/>
              <w:rPr>
                <w:rFonts w:cs="Arial"/>
                <w:color w:val="000000"/>
                <w:szCs w:val="22"/>
              </w:rPr>
            </w:pPr>
            <w:r w:rsidRPr="00514EA6">
              <w:rPr>
                <w:rFonts w:cs="Arial"/>
                <w:color w:val="000000"/>
                <w:szCs w:val="22"/>
              </w:rPr>
              <w:t>413825, 413826, 413827 &amp;</w:t>
            </w:r>
            <w:r w:rsidR="00394485">
              <w:rPr>
                <w:rFonts w:cs="Arial"/>
                <w:color w:val="000000"/>
                <w:szCs w:val="22"/>
              </w:rPr>
              <w:t xml:space="preserve"> </w:t>
            </w:r>
            <w:r w:rsidRPr="00514EA6">
              <w:rPr>
                <w:rFonts w:cs="Arial"/>
                <w:color w:val="000000"/>
                <w:szCs w:val="22"/>
              </w:rPr>
              <w:t xml:space="preserve">413828 </w:t>
            </w:r>
            <w:r w:rsidR="00C91709">
              <w:rPr>
                <w:rFonts w:cs="Arial"/>
                <w:color w:val="000000"/>
                <w:szCs w:val="22"/>
              </w:rPr>
              <w:t>e</w:t>
            </w:r>
            <w:r w:rsidRPr="00514EA6">
              <w:rPr>
                <w:rFonts w:cs="Arial"/>
                <w:color w:val="000000"/>
                <w:szCs w:val="22"/>
              </w:rPr>
              <w:t>mpagliflozin with metformin hydrochloride</w:t>
            </w:r>
          </w:p>
          <w:p w14:paraId="0730C902" w14:textId="57A0C0E7" w:rsidR="00514EA6" w:rsidRPr="00514EA6" w:rsidRDefault="00514EA6" w:rsidP="00514EA6">
            <w:pPr>
              <w:pStyle w:val="Header"/>
              <w:rPr>
                <w:rFonts w:cs="Arial"/>
                <w:color w:val="000000"/>
                <w:szCs w:val="22"/>
              </w:rPr>
            </w:pPr>
            <w:r w:rsidRPr="00514EA6">
              <w:rPr>
                <w:rFonts w:cs="Arial"/>
                <w:color w:val="000000"/>
                <w:szCs w:val="22"/>
              </w:rPr>
              <w:t xml:space="preserve">156702 </w:t>
            </w:r>
            <w:r w:rsidR="00C91709">
              <w:rPr>
                <w:rFonts w:cs="Arial"/>
                <w:color w:val="000000"/>
                <w:szCs w:val="22"/>
              </w:rPr>
              <w:t>g</w:t>
            </w:r>
            <w:r w:rsidRPr="00514EA6">
              <w:rPr>
                <w:rFonts w:cs="Arial"/>
                <w:color w:val="000000"/>
                <w:szCs w:val="22"/>
              </w:rPr>
              <w:t>libenclamide</w:t>
            </w:r>
          </w:p>
          <w:p w14:paraId="759C1443" w14:textId="435C0FE3" w:rsidR="00514EA6" w:rsidRPr="00514EA6" w:rsidRDefault="00514EA6" w:rsidP="00514EA6">
            <w:pPr>
              <w:pStyle w:val="Header"/>
              <w:rPr>
                <w:rFonts w:cs="Arial"/>
                <w:color w:val="000000"/>
                <w:szCs w:val="22"/>
              </w:rPr>
            </w:pPr>
            <w:r w:rsidRPr="00514EA6">
              <w:rPr>
                <w:rFonts w:cs="Arial"/>
                <w:color w:val="000000"/>
                <w:szCs w:val="22"/>
              </w:rPr>
              <w:t xml:space="preserve">156801 </w:t>
            </w:r>
            <w:r w:rsidR="00C91709">
              <w:rPr>
                <w:rFonts w:cs="Arial"/>
                <w:color w:val="000000"/>
                <w:szCs w:val="22"/>
              </w:rPr>
              <w:t>g</w:t>
            </w:r>
            <w:r w:rsidRPr="00514EA6">
              <w:rPr>
                <w:rFonts w:cs="Arial"/>
                <w:color w:val="000000"/>
                <w:szCs w:val="22"/>
              </w:rPr>
              <w:t>liclazide</w:t>
            </w:r>
          </w:p>
          <w:p w14:paraId="7FC23390" w14:textId="7D39DA50" w:rsidR="00514EA6" w:rsidRPr="00514EA6" w:rsidRDefault="00514EA6" w:rsidP="00514EA6">
            <w:pPr>
              <w:pStyle w:val="Header"/>
              <w:rPr>
                <w:rFonts w:cs="Arial"/>
                <w:color w:val="000000"/>
                <w:szCs w:val="22"/>
              </w:rPr>
            </w:pPr>
            <w:r w:rsidRPr="00514EA6">
              <w:rPr>
                <w:rFonts w:cs="Arial"/>
                <w:color w:val="000000"/>
                <w:szCs w:val="22"/>
              </w:rPr>
              <w:t xml:space="preserve">156901 </w:t>
            </w:r>
            <w:r w:rsidR="00C91709">
              <w:rPr>
                <w:rFonts w:cs="Arial"/>
                <w:color w:val="000000"/>
                <w:szCs w:val="22"/>
              </w:rPr>
              <w:t>g</w:t>
            </w:r>
            <w:r w:rsidRPr="00514EA6">
              <w:rPr>
                <w:rFonts w:cs="Arial"/>
                <w:color w:val="000000"/>
                <w:szCs w:val="22"/>
              </w:rPr>
              <w:t>lipizide</w:t>
            </w:r>
          </w:p>
          <w:p w14:paraId="58412ACD" w14:textId="55F1E2A4" w:rsidR="00514EA6" w:rsidRPr="00514EA6" w:rsidRDefault="00514EA6" w:rsidP="00514EA6">
            <w:pPr>
              <w:pStyle w:val="Header"/>
              <w:rPr>
                <w:rFonts w:cs="Arial"/>
                <w:color w:val="000000"/>
                <w:szCs w:val="22"/>
              </w:rPr>
            </w:pPr>
            <w:r w:rsidRPr="00514EA6">
              <w:rPr>
                <w:rFonts w:cs="Arial"/>
                <w:color w:val="000000"/>
                <w:szCs w:val="22"/>
              </w:rPr>
              <w:t xml:space="preserve">119201 &amp; 119202 </w:t>
            </w:r>
            <w:r w:rsidR="00C91709">
              <w:rPr>
                <w:rFonts w:cs="Arial"/>
                <w:color w:val="000000"/>
                <w:szCs w:val="22"/>
              </w:rPr>
              <w:t>i</w:t>
            </w:r>
            <w:r w:rsidRPr="00514EA6">
              <w:rPr>
                <w:rFonts w:cs="Arial"/>
                <w:color w:val="000000"/>
                <w:szCs w:val="22"/>
              </w:rPr>
              <w:t>nsulin lispro</w:t>
            </w:r>
          </w:p>
          <w:p w14:paraId="5713CE51" w14:textId="3362BD23" w:rsidR="00514EA6" w:rsidRPr="00514EA6" w:rsidRDefault="00514EA6" w:rsidP="00514EA6">
            <w:pPr>
              <w:pStyle w:val="Header"/>
              <w:rPr>
                <w:rFonts w:cs="Arial"/>
                <w:color w:val="000000"/>
                <w:szCs w:val="22"/>
              </w:rPr>
            </w:pPr>
            <w:r w:rsidRPr="00514EA6">
              <w:rPr>
                <w:rFonts w:cs="Arial"/>
                <w:color w:val="000000"/>
                <w:szCs w:val="22"/>
              </w:rPr>
              <w:t xml:space="preserve">164801 &amp; 164803 </w:t>
            </w:r>
            <w:r w:rsidR="00C91709">
              <w:rPr>
                <w:rFonts w:cs="Arial"/>
                <w:color w:val="000000"/>
                <w:szCs w:val="22"/>
              </w:rPr>
              <w:t>i</w:t>
            </w:r>
            <w:r w:rsidRPr="00514EA6">
              <w:rPr>
                <w:rFonts w:cs="Arial"/>
                <w:color w:val="000000"/>
                <w:szCs w:val="22"/>
              </w:rPr>
              <w:t>nsulin neutral</w:t>
            </w:r>
          </w:p>
          <w:p w14:paraId="2DDEDD15" w14:textId="615CD5DE" w:rsidR="00514EA6" w:rsidRPr="00514EA6" w:rsidRDefault="00514EA6" w:rsidP="00514EA6">
            <w:pPr>
              <w:pStyle w:val="Header"/>
              <w:rPr>
                <w:rFonts w:cs="Arial"/>
                <w:color w:val="000000"/>
                <w:szCs w:val="22"/>
              </w:rPr>
            </w:pPr>
            <w:r w:rsidRPr="00514EA6">
              <w:rPr>
                <w:rFonts w:cs="Arial"/>
                <w:color w:val="000000"/>
                <w:szCs w:val="22"/>
              </w:rPr>
              <w:t xml:space="preserve">164903 &amp; 164904 </w:t>
            </w:r>
            <w:r w:rsidR="00C91709">
              <w:rPr>
                <w:rFonts w:cs="Arial"/>
                <w:color w:val="000000"/>
                <w:szCs w:val="22"/>
              </w:rPr>
              <w:t>i</w:t>
            </w:r>
            <w:r w:rsidRPr="00514EA6">
              <w:rPr>
                <w:rFonts w:cs="Arial"/>
                <w:color w:val="000000"/>
                <w:szCs w:val="22"/>
              </w:rPr>
              <w:t>nsulin isophane</w:t>
            </w:r>
          </w:p>
          <w:p w14:paraId="59D4386F" w14:textId="3D4FC3DA" w:rsidR="00514EA6" w:rsidRPr="00514EA6" w:rsidRDefault="00514EA6" w:rsidP="00514EA6">
            <w:pPr>
              <w:pStyle w:val="Header"/>
              <w:rPr>
                <w:rFonts w:cs="Arial"/>
                <w:color w:val="000000"/>
                <w:szCs w:val="22"/>
              </w:rPr>
            </w:pPr>
            <w:r w:rsidRPr="00514EA6">
              <w:rPr>
                <w:rFonts w:cs="Arial"/>
                <w:color w:val="000000"/>
                <w:szCs w:val="22"/>
              </w:rPr>
              <w:t xml:space="preserve">165502 </w:t>
            </w:r>
            <w:proofErr w:type="spellStart"/>
            <w:r w:rsidR="00C91709">
              <w:rPr>
                <w:rFonts w:cs="Arial"/>
                <w:color w:val="000000"/>
                <w:szCs w:val="22"/>
              </w:rPr>
              <w:t>i</w:t>
            </w:r>
            <w:r w:rsidRPr="00514EA6">
              <w:rPr>
                <w:rFonts w:cs="Arial"/>
                <w:color w:val="000000"/>
                <w:szCs w:val="22"/>
              </w:rPr>
              <w:t>nj</w:t>
            </w:r>
            <w:proofErr w:type="spellEnd"/>
            <w:r w:rsidRPr="00514EA6">
              <w:rPr>
                <w:rFonts w:cs="Arial"/>
                <w:color w:val="000000"/>
                <w:szCs w:val="22"/>
              </w:rPr>
              <w:t xml:space="preserve"> crystalline human 100 u per ml</w:t>
            </w:r>
          </w:p>
          <w:p w14:paraId="3D85D0F1" w14:textId="415C8663" w:rsidR="00514EA6" w:rsidRPr="00514EA6" w:rsidRDefault="00514EA6" w:rsidP="00514EA6">
            <w:pPr>
              <w:pStyle w:val="Header"/>
              <w:rPr>
                <w:rFonts w:cs="Arial"/>
                <w:color w:val="000000"/>
                <w:szCs w:val="22"/>
              </w:rPr>
            </w:pPr>
            <w:r w:rsidRPr="00514EA6">
              <w:rPr>
                <w:rFonts w:cs="Arial"/>
                <w:color w:val="000000"/>
                <w:szCs w:val="22"/>
              </w:rPr>
              <w:t xml:space="preserve">165501 </w:t>
            </w:r>
            <w:proofErr w:type="spellStart"/>
            <w:r w:rsidR="00C91709">
              <w:rPr>
                <w:rFonts w:cs="Arial"/>
                <w:color w:val="000000"/>
                <w:szCs w:val="22"/>
              </w:rPr>
              <w:t>i</w:t>
            </w:r>
            <w:r w:rsidRPr="00514EA6">
              <w:rPr>
                <w:rFonts w:cs="Arial"/>
                <w:color w:val="000000"/>
                <w:szCs w:val="22"/>
              </w:rPr>
              <w:t>nj</w:t>
            </w:r>
            <w:proofErr w:type="spellEnd"/>
            <w:r w:rsidRPr="00514EA6">
              <w:rPr>
                <w:rFonts w:cs="Arial"/>
                <w:color w:val="000000"/>
                <w:szCs w:val="22"/>
              </w:rPr>
              <w:t xml:space="preserve"> human 100 u per ml</w:t>
            </w:r>
          </w:p>
          <w:p w14:paraId="51AD867D" w14:textId="2C2629BB" w:rsidR="00514EA6" w:rsidRPr="00514EA6" w:rsidRDefault="00514EA6" w:rsidP="00514EA6">
            <w:pPr>
              <w:pStyle w:val="Header"/>
              <w:rPr>
                <w:rFonts w:cs="Arial"/>
                <w:color w:val="000000"/>
                <w:szCs w:val="22"/>
              </w:rPr>
            </w:pPr>
            <w:r w:rsidRPr="00514EA6">
              <w:rPr>
                <w:rFonts w:cs="Arial"/>
                <w:color w:val="000000"/>
                <w:szCs w:val="22"/>
              </w:rPr>
              <w:t xml:space="preserve">378325, 378326 &amp; 378327 </w:t>
            </w:r>
            <w:r w:rsidR="00C91709">
              <w:rPr>
                <w:rFonts w:cs="Arial"/>
                <w:color w:val="000000"/>
                <w:szCs w:val="22"/>
              </w:rPr>
              <w:t>i</w:t>
            </w:r>
            <w:r w:rsidRPr="00514EA6">
              <w:rPr>
                <w:rFonts w:cs="Arial"/>
                <w:color w:val="000000"/>
                <w:szCs w:val="22"/>
              </w:rPr>
              <w:t xml:space="preserve">nsulin </w:t>
            </w:r>
            <w:proofErr w:type="spellStart"/>
            <w:r w:rsidRPr="00514EA6">
              <w:rPr>
                <w:rFonts w:cs="Arial"/>
                <w:color w:val="000000"/>
                <w:szCs w:val="22"/>
              </w:rPr>
              <w:t>aspart</w:t>
            </w:r>
            <w:proofErr w:type="spellEnd"/>
          </w:p>
          <w:p w14:paraId="090D5A8E" w14:textId="76AC395C" w:rsidR="00514EA6" w:rsidRPr="00514EA6" w:rsidRDefault="00514EA6" w:rsidP="00514EA6">
            <w:pPr>
              <w:pStyle w:val="Header"/>
              <w:rPr>
                <w:rFonts w:cs="Arial"/>
                <w:color w:val="000000"/>
                <w:szCs w:val="22"/>
              </w:rPr>
            </w:pPr>
            <w:r w:rsidRPr="00514EA6">
              <w:rPr>
                <w:rFonts w:cs="Arial"/>
                <w:color w:val="000000"/>
                <w:szCs w:val="22"/>
              </w:rPr>
              <w:t xml:space="preserve">385725, 385726 &amp; 385727 </w:t>
            </w:r>
            <w:r w:rsidR="00C91709">
              <w:rPr>
                <w:rFonts w:cs="Arial"/>
                <w:color w:val="000000"/>
                <w:szCs w:val="22"/>
              </w:rPr>
              <w:t>i</w:t>
            </w:r>
            <w:r w:rsidRPr="00514EA6">
              <w:rPr>
                <w:rFonts w:cs="Arial"/>
                <w:color w:val="000000"/>
                <w:szCs w:val="22"/>
              </w:rPr>
              <w:t>nsulin glargine</w:t>
            </w:r>
          </w:p>
          <w:p w14:paraId="6057B7B3" w14:textId="44C1F760" w:rsidR="00514EA6" w:rsidRPr="00514EA6" w:rsidRDefault="00514EA6" w:rsidP="00514EA6">
            <w:pPr>
              <w:pStyle w:val="Header"/>
              <w:rPr>
                <w:rFonts w:cs="Arial"/>
                <w:color w:val="000000"/>
                <w:szCs w:val="22"/>
              </w:rPr>
            </w:pPr>
            <w:r w:rsidRPr="00514EA6">
              <w:rPr>
                <w:rFonts w:cs="Arial"/>
                <w:color w:val="000000"/>
                <w:szCs w:val="22"/>
              </w:rPr>
              <w:t xml:space="preserve">388225 &amp; 388226 </w:t>
            </w:r>
            <w:r w:rsidR="00C91709">
              <w:rPr>
                <w:rFonts w:cs="Arial"/>
                <w:color w:val="000000"/>
                <w:szCs w:val="22"/>
              </w:rPr>
              <w:t>i</w:t>
            </w:r>
            <w:r w:rsidRPr="00514EA6">
              <w:rPr>
                <w:rFonts w:cs="Arial"/>
                <w:color w:val="000000"/>
                <w:szCs w:val="22"/>
              </w:rPr>
              <w:t>nsulin lispro with insulin lispro protamine</w:t>
            </w:r>
          </w:p>
          <w:p w14:paraId="202F3E1F" w14:textId="797543CF" w:rsidR="00514EA6" w:rsidRPr="00514EA6" w:rsidRDefault="00514EA6" w:rsidP="00514EA6">
            <w:pPr>
              <w:pStyle w:val="Header"/>
              <w:rPr>
                <w:rFonts w:cs="Arial"/>
                <w:color w:val="000000"/>
                <w:szCs w:val="22"/>
              </w:rPr>
            </w:pPr>
            <w:r w:rsidRPr="00514EA6">
              <w:rPr>
                <w:rFonts w:cs="Arial"/>
                <w:color w:val="000000"/>
                <w:szCs w:val="22"/>
              </w:rPr>
              <w:t xml:space="preserve">390825, 390826 &amp; 390827 </w:t>
            </w:r>
            <w:r w:rsidR="00C91709">
              <w:rPr>
                <w:rFonts w:cs="Arial"/>
                <w:color w:val="000000"/>
                <w:szCs w:val="22"/>
              </w:rPr>
              <w:t>i</w:t>
            </w:r>
            <w:r w:rsidRPr="00514EA6">
              <w:rPr>
                <w:rFonts w:cs="Arial"/>
                <w:color w:val="000000"/>
                <w:szCs w:val="22"/>
              </w:rPr>
              <w:t xml:space="preserve">nsulin </w:t>
            </w:r>
            <w:proofErr w:type="spellStart"/>
            <w:r w:rsidRPr="00514EA6">
              <w:rPr>
                <w:rFonts w:cs="Arial"/>
                <w:color w:val="000000"/>
                <w:szCs w:val="22"/>
              </w:rPr>
              <w:t>glulisine</w:t>
            </w:r>
            <w:proofErr w:type="spellEnd"/>
          </w:p>
          <w:p w14:paraId="4F6EFAE9" w14:textId="70E4BBC7" w:rsidR="00514EA6" w:rsidRPr="00514EA6" w:rsidRDefault="00514EA6" w:rsidP="00514EA6">
            <w:pPr>
              <w:pStyle w:val="Header"/>
              <w:rPr>
                <w:rFonts w:cs="Arial"/>
                <w:color w:val="000000"/>
                <w:szCs w:val="22"/>
              </w:rPr>
            </w:pPr>
            <w:r w:rsidRPr="00514EA6">
              <w:rPr>
                <w:rFonts w:cs="Arial"/>
                <w:color w:val="000000"/>
                <w:szCs w:val="22"/>
              </w:rPr>
              <w:t xml:space="preserve">398227 </w:t>
            </w:r>
            <w:r w:rsidR="00C91709">
              <w:rPr>
                <w:rFonts w:cs="Arial"/>
                <w:color w:val="000000"/>
                <w:szCs w:val="22"/>
              </w:rPr>
              <w:t>i</w:t>
            </w:r>
            <w:r w:rsidRPr="00514EA6">
              <w:rPr>
                <w:rFonts w:cs="Arial"/>
                <w:color w:val="000000"/>
                <w:szCs w:val="22"/>
              </w:rPr>
              <w:t xml:space="preserve">nsulin </w:t>
            </w:r>
            <w:proofErr w:type="spellStart"/>
            <w:r w:rsidRPr="00514EA6">
              <w:rPr>
                <w:rFonts w:cs="Arial"/>
                <w:color w:val="000000"/>
                <w:szCs w:val="22"/>
              </w:rPr>
              <w:t>aspart</w:t>
            </w:r>
            <w:proofErr w:type="spellEnd"/>
            <w:r w:rsidRPr="00514EA6">
              <w:rPr>
                <w:rFonts w:cs="Arial"/>
                <w:color w:val="000000"/>
                <w:szCs w:val="22"/>
              </w:rPr>
              <w:t xml:space="preserve"> with insulin aspart protamine</w:t>
            </w:r>
          </w:p>
          <w:p w14:paraId="6F9C99B4" w14:textId="5AA2A0EA" w:rsidR="00514EA6" w:rsidRPr="00514EA6" w:rsidRDefault="00514EA6" w:rsidP="00514EA6">
            <w:pPr>
              <w:pStyle w:val="Header"/>
              <w:rPr>
                <w:rFonts w:cs="Arial"/>
                <w:color w:val="000000"/>
                <w:szCs w:val="22"/>
              </w:rPr>
            </w:pPr>
            <w:r w:rsidRPr="00514EA6">
              <w:rPr>
                <w:rFonts w:cs="Arial"/>
                <w:color w:val="000000"/>
                <w:szCs w:val="22"/>
              </w:rPr>
              <w:t xml:space="preserve">630002 &amp; 630003 </w:t>
            </w:r>
            <w:r w:rsidR="00C91709">
              <w:rPr>
                <w:rFonts w:cs="Arial"/>
                <w:color w:val="000000"/>
                <w:szCs w:val="22"/>
              </w:rPr>
              <w:t>i</w:t>
            </w:r>
            <w:r w:rsidRPr="00514EA6">
              <w:rPr>
                <w:rFonts w:cs="Arial"/>
                <w:color w:val="000000"/>
                <w:szCs w:val="22"/>
              </w:rPr>
              <w:t>nsulin isophane with insulin neutral</w:t>
            </w:r>
          </w:p>
          <w:p w14:paraId="65C17F28" w14:textId="35B5EF40" w:rsidR="00514EA6" w:rsidRPr="00514EA6" w:rsidRDefault="00514EA6" w:rsidP="00514EA6">
            <w:pPr>
              <w:pStyle w:val="Header"/>
              <w:rPr>
                <w:rFonts w:cs="Arial"/>
                <w:color w:val="000000"/>
                <w:szCs w:val="22"/>
              </w:rPr>
            </w:pPr>
            <w:r w:rsidRPr="00514EA6">
              <w:rPr>
                <w:rFonts w:cs="Arial"/>
                <w:color w:val="000000"/>
                <w:szCs w:val="22"/>
              </w:rPr>
              <w:t xml:space="preserve">380025, 380026 &amp; 380027 </w:t>
            </w:r>
            <w:r w:rsidR="00C91709">
              <w:rPr>
                <w:rFonts w:cs="Arial"/>
                <w:color w:val="000000"/>
                <w:szCs w:val="22"/>
              </w:rPr>
              <w:t>p</w:t>
            </w:r>
            <w:r w:rsidRPr="00514EA6">
              <w:rPr>
                <w:rFonts w:cs="Arial"/>
                <w:color w:val="000000"/>
                <w:szCs w:val="22"/>
              </w:rPr>
              <w:t>ioglitazone</w:t>
            </w:r>
          </w:p>
          <w:p w14:paraId="4B38099B" w14:textId="13ADEA86" w:rsidR="00514EA6" w:rsidRPr="00514EA6" w:rsidRDefault="00514EA6" w:rsidP="00514EA6">
            <w:pPr>
              <w:pStyle w:val="Header"/>
              <w:rPr>
                <w:rFonts w:cs="Arial"/>
                <w:color w:val="000000"/>
                <w:szCs w:val="22"/>
              </w:rPr>
            </w:pPr>
            <w:r w:rsidRPr="00514EA6">
              <w:rPr>
                <w:rFonts w:cs="Arial"/>
                <w:color w:val="000000"/>
                <w:szCs w:val="22"/>
              </w:rPr>
              <w:t xml:space="preserve">410325 </w:t>
            </w:r>
            <w:r w:rsidR="00C91709">
              <w:rPr>
                <w:rFonts w:cs="Arial"/>
                <w:color w:val="000000"/>
                <w:szCs w:val="22"/>
              </w:rPr>
              <w:t>v</w:t>
            </w:r>
            <w:r w:rsidRPr="00514EA6">
              <w:rPr>
                <w:rFonts w:cs="Arial"/>
                <w:color w:val="000000"/>
                <w:szCs w:val="22"/>
              </w:rPr>
              <w:t>ildagliptin</w:t>
            </w:r>
          </w:p>
          <w:p w14:paraId="57549B24" w14:textId="44FCBB0E" w:rsidR="00EB4387" w:rsidRPr="00D42C24" w:rsidRDefault="00514EA6" w:rsidP="00EB4387">
            <w:pPr>
              <w:pStyle w:val="Header"/>
              <w:rPr>
                <w:rFonts w:cs="Arial"/>
                <w:color w:val="000000"/>
                <w:szCs w:val="22"/>
              </w:rPr>
            </w:pPr>
            <w:r w:rsidRPr="00514EA6">
              <w:rPr>
                <w:rFonts w:cs="Arial"/>
                <w:color w:val="000000"/>
                <w:szCs w:val="22"/>
              </w:rPr>
              <w:t xml:space="preserve">410425 &amp; 410426 </w:t>
            </w:r>
            <w:r w:rsidR="00C91709">
              <w:rPr>
                <w:rFonts w:cs="Arial"/>
                <w:color w:val="000000"/>
                <w:szCs w:val="22"/>
              </w:rPr>
              <w:t>v</w:t>
            </w:r>
            <w:r w:rsidRPr="00514EA6">
              <w:rPr>
                <w:rFonts w:cs="Arial"/>
                <w:color w:val="000000"/>
                <w:szCs w:val="22"/>
              </w:rPr>
              <w:t>ildagliptin with metformin hydrochloride</w:t>
            </w:r>
          </w:p>
        </w:tc>
      </w:tr>
      <w:tr w:rsidR="00EB4387" w:rsidRPr="00D42C24" w14:paraId="1C79F7F5" w14:textId="77777777" w:rsidTr="000F18B7">
        <w:trPr>
          <w:trHeight w:val="327"/>
        </w:trPr>
        <w:tc>
          <w:tcPr>
            <w:tcW w:w="1668" w:type="dxa"/>
            <w:shd w:val="clear" w:color="auto" w:fill="auto"/>
          </w:tcPr>
          <w:p w14:paraId="51ECED09" w14:textId="77777777" w:rsidR="00EB4387" w:rsidRPr="00EB4387" w:rsidRDefault="00EB4387" w:rsidP="00773C1D">
            <w:pPr>
              <w:pStyle w:val="Header"/>
              <w:spacing w:before="60"/>
              <w:rPr>
                <w:rFonts w:cs="Arial"/>
                <w:b/>
                <w:szCs w:val="22"/>
              </w:rPr>
            </w:pPr>
            <w:r w:rsidRPr="00EB4387">
              <w:rPr>
                <w:rFonts w:cs="Arial"/>
                <w:b/>
                <w:szCs w:val="22"/>
              </w:rPr>
              <w:t>Rationale</w:t>
            </w:r>
          </w:p>
        </w:tc>
        <w:tc>
          <w:tcPr>
            <w:tcW w:w="7654" w:type="dxa"/>
            <w:shd w:val="clear" w:color="auto" w:fill="auto"/>
            <w:vAlign w:val="bottom"/>
          </w:tcPr>
          <w:p w14:paraId="094E50AF" w14:textId="74806356" w:rsidR="00EB4387" w:rsidRPr="00564994" w:rsidRDefault="00EB4387" w:rsidP="00806F86">
            <w:pPr>
              <w:pStyle w:val="Header"/>
              <w:spacing w:before="60"/>
              <w:rPr>
                <w:rFonts w:cs="Arial"/>
                <w:color w:val="000000"/>
                <w:szCs w:val="22"/>
              </w:rPr>
            </w:pPr>
            <w:r>
              <w:rPr>
                <w:rFonts w:cs="Arial"/>
                <w:color w:val="000000"/>
                <w:szCs w:val="22"/>
              </w:rPr>
              <w:t xml:space="preserve">Analysing variation in </w:t>
            </w:r>
            <w:r w:rsidR="00846CDD">
              <w:rPr>
                <w:rFonts w:cs="Arial"/>
                <w:color w:val="000000"/>
                <w:szCs w:val="22"/>
              </w:rPr>
              <w:t>hypoglycaemic</w:t>
            </w:r>
            <w:r>
              <w:rPr>
                <w:rFonts w:cs="Arial"/>
                <w:color w:val="000000"/>
                <w:szCs w:val="22"/>
              </w:rPr>
              <w:t xml:space="preserve"> medication usage can </w:t>
            </w:r>
            <w:r w:rsidRPr="00615ACA">
              <w:rPr>
                <w:rFonts w:cs="Arial"/>
                <w:color w:val="000000"/>
                <w:szCs w:val="22"/>
              </w:rPr>
              <w:t xml:space="preserve">offer insights into </w:t>
            </w:r>
            <w:r>
              <w:rPr>
                <w:rFonts w:cs="Arial"/>
                <w:color w:val="000000"/>
                <w:szCs w:val="22"/>
              </w:rPr>
              <w:t>several</w:t>
            </w:r>
            <w:r w:rsidRPr="00615ACA">
              <w:rPr>
                <w:rFonts w:cs="Arial"/>
                <w:color w:val="000000"/>
                <w:szCs w:val="22"/>
              </w:rPr>
              <w:t xml:space="preserve"> aspects of diabetes management, including </w:t>
            </w:r>
            <w:r w:rsidR="003771E4">
              <w:rPr>
                <w:rFonts w:cs="Arial"/>
                <w:color w:val="000000"/>
                <w:szCs w:val="22"/>
              </w:rPr>
              <w:t>health care</w:t>
            </w:r>
            <w:r w:rsidRPr="00615ACA">
              <w:rPr>
                <w:rFonts w:cs="Arial"/>
                <w:color w:val="000000"/>
                <w:szCs w:val="22"/>
              </w:rPr>
              <w:t xml:space="preserve"> access</w:t>
            </w:r>
            <w:r>
              <w:rPr>
                <w:rFonts w:cs="Arial"/>
                <w:color w:val="000000"/>
                <w:szCs w:val="22"/>
              </w:rPr>
              <w:t xml:space="preserve"> and quality</w:t>
            </w:r>
            <w:r w:rsidRPr="00615ACA">
              <w:rPr>
                <w:rFonts w:cs="Arial"/>
                <w:color w:val="000000"/>
                <w:szCs w:val="22"/>
              </w:rPr>
              <w:t xml:space="preserve">, provider practices, patient </w:t>
            </w:r>
            <w:r>
              <w:rPr>
                <w:rFonts w:cs="Arial"/>
                <w:color w:val="000000"/>
                <w:szCs w:val="22"/>
              </w:rPr>
              <w:t xml:space="preserve">preferences, health literacy, </w:t>
            </w:r>
            <w:proofErr w:type="gramStart"/>
            <w:r>
              <w:rPr>
                <w:rFonts w:cs="Arial"/>
                <w:color w:val="000000"/>
                <w:szCs w:val="22"/>
              </w:rPr>
              <w:t>adherence</w:t>
            </w:r>
            <w:proofErr w:type="gramEnd"/>
            <w:r>
              <w:rPr>
                <w:rFonts w:cs="Arial"/>
                <w:color w:val="000000"/>
                <w:szCs w:val="22"/>
              </w:rPr>
              <w:t xml:space="preserve"> and tolerability</w:t>
            </w:r>
            <w:r w:rsidRPr="00615ACA">
              <w:rPr>
                <w:rFonts w:cs="Arial"/>
                <w:color w:val="000000"/>
                <w:szCs w:val="22"/>
              </w:rPr>
              <w:t xml:space="preserve">. This information is valuable for designing targeted interventions to improve diabetes care and reduce disparities in </w:t>
            </w:r>
            <w:r w:rsidR="003771E4">
              <w:rPr>
                <w:rFonts w:cs="Arial"/>
                <w:color w:val="000000"/>
                <w:szCs w:val="22"/>
              </w:rPr>
              <w:t>health care</w:t>
            </w:r>
            <w:r w:rsidRPr="00615ACA">
              <w:rPr>
                <w:rFonts w:cs="Arial"/>
                <w:color w:val="000000"/>
                <w:szCs w:val="22"/>
              </w:rPr>
              <w:t xml:space="preserve"> delivery</w:t>
            </w:r>
            <w:r>
              <w:rPr>
                <w:rFonts w:cs="Arial"/>
                <w:color w:val="000000"/>
                <w:szCs w:val="22"/>
              </w:rPr>
              <w:t xml:space="preserve">. </w:t>
            </w:r>
          </w:p>
        </w:tc>
      </w:tr>
      <w:tr w:rsidR="00EB4387" w:rsidRPr="00D42C24" w14:paraId="127C2311" w14:textId="77777777" w:rsidTr="000F18B7">
        <w:trPr>
          <w:trHeight w:val="327"/>
        </w:trPr>
        <w:tc>
          <w:tcPr>
            <w:tcW w:w="1668" w:type="dxa"/>
            <w:shd w:val="clear" w:color="auto" w:fill="auto"/>
          </w:tcPr>
          <w:p w14:paraId="0E2A3631" w14:textId="77777777" w:rsidR="00EB4387" w:rsidRPr="00EB4387" w:rsidRDefault="00EB4387" w:rsidP="00EB4387">
            <w:pPr>
              <w:pStyle w:val="Header"/>
              <w:spacing w:before="60"/>
              <w:rPr>
                <w:rFonts w:cs="Arial"/>
                <w:b/>
                <w:szCs w:val="22"/>
              </w:rPr>
            </w:pPr>
            <w:r w:rsidRPr="00EB4387">
              <w:rPr>
                <w:rFonts w:cs="Arial"/>
                <w:b/>
                <w:szCs w:val="22"/>
              </w:rPr>
              <w:t>Commentary</w:t>
            </w:r>
          </w:p>
        </w:tc>
        <w:tc>
          <w:tcPr>
            <w:tcW w:w="7654" w:type="dxa"/>
            <w:shd w:val="clear" w:color="auto" w:fill="auto"/>
            <w:vAlign w:val="bottom"/>
          </w:tcPr>
          <w:p w14:paraId="176AB3D9" w14:textId="77777777" w:rsidR="00514EA6" w:rsidRPr="00FD6AEC" w:rsidRDefault="00514EA6" w:rsidP="00301389">
            <w:pPr>
              <w:pStyle w:val="Header"/>
              <w:spacing w:before="60"/>
              <w:rPr>
                <w:rFonts w:cs="Arial"/>
                <w:color w:val="000000"/>
                <w:szCs w:val="22"/>
              </w:rPr>
            </w:pPr>
            <w:r w:rsidRPr="00FD6AEC">
              <w:rPr>
                <w:rFonts w:cs="Arial"/>
                <w:color w:val="000000"/>
                <w:szCs w:val="22"/>
              </w:rPr>
              <w:t xml:space="preserve">Description: </w:t>
            </w:r>
          </w:p>
          <w:p w14:paraId="73824F31" w14:textId="77777777" w:rsidR="00514EA6" w:rsidRPr="00FD6AEC" w:rsidRDefault="00514EA6" w:rsidP="00514EA6">
            <w:pPr>
              <w:pStyle w:val="Header"/>
              <w:spacing w:before="60"/>
              <w:rPr>
                <w:rFonts w:cs="Arial"/>
                <w:color w:val="000000"/>
                <w:szCs w:val="22"/>
              </w:rPr>
            </w:pPr>
            <w:r w:rsidRPr="00FD6AEC">
              <w:rPr>
                <w:rFonts w:cs="Arial"/>
                <w:color w:val="000000"/>
                <w:szCs w:val="22"/>
              </w:rPr>
              <w:lastRenderedPageBreak/>
              <w:t xml:space="preserve">This indicator shows the number and percent of people with diabetes receiving any hypoglycaemic medication regularly. Regular use was defined as hypoglycaemic medication dispensed in three or more quarters in a year. </w:t>
            </w:r>
          </w:p>
          <w:p w14:paraId="491645DF" w14:textId="77777777" w:rsidR="00514EA6" w:rsidRPr="00FD6AEC" w:rsidRDefault="00514EA6" w:rsidP="009A3475">
            <w:pPr>
              <w:pStyle w:val="Header"/>
              <w:spacing w:before="240"/>
              <w:rPr>
                <w:rFonts w:cs="Arial"/>
                <w:color w:val="000000"/>
                <w:szCs w:val="22"/>
              </w:rPr>
            </w:pPr>
            <w:r w:rsidRPr="00FD6AEC">
              <w:rPr>
                <w:rFonts w:cs="Arial"/>
                <w:color w:val="000000"/>
                <w:szCs w:val="22"/>
              </w:rPr>
              <w:t>Why is this indicator important?</w:t>
            </w:r>
          </w:p>
          <w:p w14:paraId="76835ADE" w14:textId="6A9A9378" w:rsidR="00514EA6" w:rsidRPr="00FD6AEC" w:rsidRDefault="00514EA6" w:rsidP="00514EA6">
            <w:pPr>
              <w:pStyle w:val="Header"/>
              <w:rPr>
                <w:rFonts w:cs="Arial"/>
                <w:color w:val="000000"/>
                <w:szCs w:val="22"/>
              </w:rPr>
            </w:pPr>
            <w:r w:rsidRPr="00FD6AEC">
              <w:rPr>
                <w:rFonts w:cs="Arial"/>
                <w:color w:val="000000"/>
                <w:szCs w:val="22"/>
              </w:rPr>
              <w:t xml:space="preserve">Analysing variation in hypoglycaemic medication usage can offer insights into several aspects of diabetes management, including </w:t>
            </w:r>
            <w:r w:rsidR="003771E4">
              <w:rPr>
                <w:rFonts w:cs="Arial"/>
                <w:color w:val="000000"/>
                <w:szCs w:val="22"/>
              </w:rPr>
              <w:t>health care</w:t>
            </w:r>
            <w:r w:rsidRPr="00FD6AEC">
              <w:rPr>
                <w:rFonts w:cs="Arial"/>
                <w:color w:val="000000"/>
                <w:szCs w:val="22"/>
              </w:rPr>
              <w:t xml:space="preserve"> access and quality, provider practice, patient preferences, health literacy, </w:t>
            </w:r>
            <w:proofErr w:type="gramStart"/>
            <w:r w:rsidRPr="00FD6AEC">
              <w:rPr>
                <w:rFonts w:cs="Arial"/>
                <w:color w:val="000000"/>
                <w:szCs w:val="22"/>
              </w:rPr>
              <w:t>adherence</w:t>
            </w:r>
            <w:proofErr w:type="gramEnd"/>
            <w:r w:rsidRPr="00FD6AEC">
              <w:rPr>
                <w:rFonts w:cs="Arial"/>
                <w:color w:val="000000"/>
                <w:szCs w:val="22"/>
              </w:rPr>
              <w:t xml:space="preserve"> and tolerability. This information is valuable for designing targeted interventions to improve diabetes care and reduce disparities in </w:t>
            </w:r>
            <w:r w:rsidR="003771E4">
              <w:rPr>
                <w:rFonts w:cs="Arial"/>
                <w:color w:val="000000"/>
                <w:szCs w:val="22"/>
              </w:rPr>
              <w:t>health care</w:t>
            </w:r>
            <w:r w:rsidRPr="00FD6AEC">
              <w:rPr>
                <w:rFonts w:cs="Arial"/>
                <w:color w:val="000000"/>
                <w:szCs w:val="22"/>
              </w:rPr>
              <w:t xml:space="preserve"> delivery.</w:t>
            </w:r>
          </w:p>
          <w:p w14:paraId="05689DCB" w14:textId="77777777" w:rsidR="00514EA6" w:rsidRPr="00FD6AEC" w:rsidRDefault="00514EA6" w:rsidP="009A3475">
            <w:pPr>
              <w:spacing w:before="240"/>
              <w:rPr>
                <w:rFonts w:cs="Arial"/>
                <w:color w:val="000000"/>
              </w:rPr>
            </w:pPr>
            <w:r w:rsidRPr="00FD6AEC">
              <w:rPr>
                <w:rFonts w:cs="Arial"/>
                <w:color w:val="000000"/>
              </w:rPr>
              <w:t>What questions does this prompt?</w:t>
            </w:r>
          </w:p>
          <w:p w14:paraId="197A1651" w14:textId="7DE05AFB" w:rsidR="00514EA6" w:rsidRPr="00FD6AEC" w:rsidRDefault="00514EA6" w:rsidP="009A3475">
            <w:pPr>
              <w:pStyle w:val="ListParagraph"/>
              <w:numPr>
                <w:ilvl w:val="0"/>
                <w:numId w:val="4"/>
              </w:numPr>
              <w:spacing w:before="60" w:after="60"/>
              <w:contextualSpacing w:val="0"/>
              <w:rPr>
                <w:color w:val="000000"/>
              </w:rPr>
            </w:pPr>
            <w:r w:rsidRPr="00FD6AEC">
              <w:rPr>
                <w:color w:val="000000"/>
              </w:rPr>
              <w:t xml:space="preserve">How </w:t>
            </w:r>
            <w:r w:rsidR="0095386E">
              <w:rPr>
                <w:color w:val="000000"/>
              </w:rPr>
              <w:t>d</w:t>
            </w:r>
            <w:r w:rsidRPr="00FD6AEC">
              <w:rPr>
                <w:color w:val="000000"/>
              </w:rPr>
              <w:t>o districts with similar ethnic composition compare?</w:t>
            </w:r>
          </w:p>
          <w:p w14:paraId="5B6A278D" w14:textId="0F327A90" w:rsidR="00EB4387" w:rsidRPr="009A3475" w:rsidRDefault="00514EA6" w:rsidP="00514EA6">
            <w:pPr>
              <w:pStyle w:val="Header"/>
              <w:numPr>
                <w:ilvl w:val="0"/>
                <w:numId w:val="4"/>
              </w:numPr>
              <w:spacing w:before="60"/>
              <w:rPr>
                <w:rFonts w:cs="Arial"/>
                <w:color w:val="000000"/>
                <w:szCs w:val="22"/>
              </w:rPr>
            </w:pPr>
            <w:r w:rsidRPr="00FD6AEC">
              <w:rPr>
                <w:rFonts w:cs="Arial"/>
                <w:color w:val="000000"/>
                <w:szCs w:val="22"/>
              </w:rPr>
              <w:t>How do PHOs with similar populations compare?</w:t>
            </w:r>
          </w:p>
        </w:tc>
      </w:tr>
    </w:tbl>
    <w:p w14:paraId="1AEB3251" w14:textId="77777777" w:rsidR="00857A0A" w:rsidRDefault="00857A0A" w:rsidP="0000087A">
      <w:pPr>
        <w:rPr>
          <w:rFonts w:cs="Arial"/>
          <w:szCs w:val="22"/>
        </w:rPr>
      </w:pPr>
    </w:p>
    <w:tbl>
      <w:tblPr>
        <w:tblW w:w="932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A0" w:firstRow="1" w:lastRow="0" w:firstColumn="1" w:lastColumn="0" w:noHBand="0" w:noVBand="0"/>
      </w:tblPr>
      <w:tblGrid>
        <w:gridCol w:w="1668"/>
        <w:gridCol w:w="7654"/>
      </w:tblGrid>
      <w:tr w:rsidR="00564994" w:rsidRPr="00D42C24" w14:paraId="48BF9C43" w14:textId="77777777" w:rsidTr="000F18B7">
        <w:trPr>
          <w:trHeight w:val="327"/>
        </w:trPr>
        <w:tc>
          <w:tcPr>
            <w:tcW w:w="1668" w:type="dxa"/>
            <w:shd w:val="clear" w:color="auto" w:fill="auto"/>
          </w:tcPr>
          <w:p w14:paraId="6965EF8A" w14:textId="036290C7" w:rsidR="00564994" w:rsidRPr="00D42C24" w:rsidRDefault="00564994" w:rsidP="00564994">
            <w:pPr>
              <w:pStyle w:val="Header"/>
              <w:spacing w:before="60"/>
              <w:rPr>
                <w:rFonts w:cs="Arial"/>
                <w:b/>
                <w:color w:val="808080"/>
                <w:szCs w:val="22"/>
              </w:rPr>
            </w:pPr>
            <w:r w:rsidRPr="00D42C24">
              <w:rPr>
                <w:rFonts w:cs="Arial"/>
                <w:b/>
                <w:szCs w:val="22"/>
              </w:rPr>
              <w:t>Indicator #</w:t>
            </w:r>
            <w:r w:rsidR="00B060BD">
              <w:rPr>
                <w:rFonts w:cs="Arial"/>
                <w:b/>
                <w:szCs w:val="22"/>
              </w:rPr>
              <w:t>9</w:t>
            </w:r>
            <w:r w:rsidRPr="00D42C24">
              <w:rPr>
                <w:rFonts w:cs="Arial"/>
                <w:b/>
                <w:szCs w:val="22"/>
              </w:rPr>
              <w:t>:</w:t>
            </w:r>
          </w:p>
        </w:tc>
        <w:tc>
          <w:tcPr>
            <w:tcW w:w="7654" w:type="dxa"/>
            <w:shd w:val="clear" w:color="auto" w:fill="auto"/>
          </w:tcPr>
          <w:p w14:paraId="06A37B58" w14:textId="393C2777" w:rsidR="00564994" w:rsidRPr="00D42C24" w:rsidRDefault="00564994" w:rsidP="00564994">
            <w:pPr>
              <w:pStyle w:val="Header"/>
              <w:spacing w:before="60"/>
              <w:rPr>
                <w:rFonts w:cs="Arial"/>
                <w:b/>
                <w:szCs w:val="22"/>
              </w:rPr>
            </w:pPr>
            <w:r w:rsidRPr="00C514C8">
              <w:t>People with diabetes</w:t>
            </w:r>
            <w:r w:rsidR="00D14439">
              <w:t xml:space="preserve"> aged 25 years or over</w:t>
            </w:r>
            <w:r w:rsidRPr="00C514C8">
              <w:t xml:space="preserve"> regularly receiving </w:t>
            </w:r>
            <w:r w:rsidR="00F64B6A">
              <w:t xml:space="preserve">an </w:t>
            </w:r>
            <w:r w:rsidRPr="00C514C8">
              <w:t xml:space="preserve">ACEI or ARB </w:t>
            </w:r>
            <w:r w:rsidR="006D1CD8">
              <w:t>in the relevant year</w:t>
            </w:r>
          </w:p>
        </w:tc>
      </w:tr>
      <w:tr w:rsidR="007971EA" w:rsidRPr="00D42C24" w14:paraId="2056E75F" w14:textId="77777777" w:rsidTr="000F18B7">
        <w:trPr>
          <w:trHeight w:val="327"/>
        </w:trPr>
        <w:tc>
          <w:tcPr>
            <w:tcW w:w="1668" w:type="dxa"/>
            <w:shd w:val="clear" w:color="auto" w:fill="auto"/>
          </w:tcPr>
          <w:p w14:paraId="7DE2CFF7" w14:textId="0570CF9F" w:rsidR="007971EA" w:rsidRPr="007971EA" w:rsidRDefault="007971EA" w:rsidP="00564994">
            <w:pPr>
              <w:pStyle w:val="Header"/>
              <w:spacing w:before="60"/>
              <w:rPr>
                <w:rFonts w:cs="Arial"/>
                <w:bCs/>
                <w:szCs w:val="22"/>
              </w:rPr>
            </w:pPr>
            <w:r w:rsidRPr="007971EA">
              <w:rPr>
                <w:rFonts w:cs="Arial"/>
                <w:bCs/>
                <w:szCs w:val="22"/>
              </w:rPr>
              <w:t>Description</w:t>
            </w:r>
          </w:p>
        </w:tc>
        <w:tc>
          <w:tcPr>
            <w:tcW w:w="7654" w:type="dxa"/>
            <w:shd w:val="clear" w:color="auto" w:fill="auto"/>
          </w:tcPr>
          <w:p w14:paraId="01512075" w14:textId="0A62A283" w:rsidR="007971EA" w:rsidRPr="00C514C8" w:rsidRDefault="00A11376" w:rsidP="00564994">
            <w:pPr>
              <w:pStyle w:val="Header"/>
              <w:spacing w:before="60"/>
            </w:pPr>
            <w:r>
              <w:t xml:space="preserve">This indicator shows the number and percent of people with diabetes receiving angiotensin converting enzyme inhibitor (ACEI) or an </w:t>
            </w:r>
            <w:r w:rsidR="00846CDD">
              <w:t>angiotensin</w:t>
            </w:r>
            <w:r>
              <w:t xml:space="preserve"> receptor blocker (ARB) in three or four quarters </w:t>
            </w:r>
            <w:r w:rsidR="006D1CD8">
              <w:t>in the relevant year</w:t>
            </w:r>
          </w:p>
        </w:tc>
      </w:tr>
      <w:tr w:rsidR="00564994" w:rsidRPr="00D42C24" w14:paraId="28573264" w14:textId="77777777" w:rsidTr="000F18B7">
        <w:trPr>
          <w:trHeight w:val="327"/>
        </w:trPr>
        <w:tc>
          <w:tcPr>
            <w:tcW w:w="1668" w:type="dxa"/>
            <w:shd w:val="clear" w:color="auto" w:fill="auto"/>
          </w:tcPr>
          <w:p w14:paraId="79DA8024" w14:textId="77777777" w:rsidR="00564994" w:rsidRPr="00D42C24" w:rsidRDefault="00564994" w:rsidP="00564994">
            <w:pPr>
              <w:pStyle w:val="Header"/>
              <w:spacing w:before="60"/>
              <w:rPr>
                <w:rFonts w:cs="Arial"/>
                <w:szCs w:val="22"/>
              </w:rPr>
            </w:pPr>
            <w:r w:rsidRPr="00D42C24">
              <w:rPr>
                <w:rFonts w:cs="Arial"/>
                <w:szCs w:val="22"/>
              </w:rPr>
              <w:t>Numerator</w:t>
            </w:r>
          </w:p>
        </w:tc>
        <w:tc>
          <w:tcPr>
            <w:tcW w:w="7654" w:type="dxa"/>
            <w:shd w:val="clear" w:color="auto" w:fill="auto"/>
          </w:tcPr>
          <w:p w14:paraId="4E72E20F" w14:textId="245F77AD" w:rsidR="00564994" w:rsidRPr="00D42C24" w:rsidRDefault="00564994" w:rsidP="00564994">
            <w:pPr>
              <w:pStyle w:val="Header"/>
              <w:spacing w:before="60"/>
              <w:rPr>
                <w:rFonts w:cs="Arial"/>
                <w:szCs w:val="22"/>
              </w:rPr>
            </w:pPr>
            <w:r w:rsidRPr="00C514C8">
              <w:t>People with diabetes receiving an ACE</w:t>
            </w:r>
            <w:r w:rsidR="00A11376">
              <w:t>I</w:t>
            </w:r>
            <w:r w:rsidRPr="00C514C8">
              <w:t xml:space="preserve"> or ARB in three or four quarters in a year</w:t>
            </w:r>
          </w:p>
        </w:tc>
      </w:tr>
      <w:tr w:rsidR="00564994" w:rsidRPr="00D42C24" w14:paraId="565D499C" w14:textId="77777777" w:rsidTr="000F18B7">
        <w:trPr>
          <w:trHeight w:val="327"/>
        </w:trPr>
        <w:tc>
          <w:tcPr>
            <w:tcW w:w="1668" w:type="dxa"/>
            <w:shd w:val="clear" w:color="auto" w:fill="auto"/>
          </w:tcPr>
          <w:p w14:paraId="3434F11C" w14:textId="77777777" w:rsidR="00564994" w:rsidRPr="00D42C24" w:rsidRDefault="00564994" w:rsidP="00564994">
            <w:pPr>
              <w:pStyle w:val="Header"/>
              <w:spacing w:before="60"/>
              <w:rPr>
                <w:rFonts w:cs="Arial"/>
                <w:szCs w:val="22"/>
              </w:rPr>
            </w:pPr>
            <w:r w:rsidRPr="00D42C24">
              <w:rPr>
                <w:rFonts w:cs="Arial"/>
                <w:szCs w:val="22"/>
              </w:rPr>
              <w:t>Denominator</w:t>
            </w:r>
          </w:p>
        </w:tc>
        <w:tc>
          <w:tcPr>
            <w:tcW w:w="7654" w:type="dxa"/>
            <w:shd w:val="clear" w:color="auto" w:fill="auto"/>
          </w:tcPr>
          <w:p w14:paraId="6E127D49" w14:textId="61E14B00" w:rsidR="00564994" w:rsidRPr="00D42C24" w:rsidRDefault="007971EA" w:rsidP="00564994">
            <w:pPr>
              <w:pStyle w:val="Header"/>
              <w:spacing w:before="60"/>
              <w:rPr>
                <w:rFonts w:cs="Arial"/>
                <w:szCs w:val="22"/>
              </w:rPr>
            </w:pPr>
            <w:r>
              <w:rPr>
                <w:rFonts w:cs="Arial"/>
                <w:szCs w:val="22"/>
              </w:rPr>
              <w:t>Count of distinct master NHIs</w:t>
            </w:r>
            <w:r w:rsidDel="00114E54">
              <w:t xml:space="preserve"> </w:t>
            </w:r>
            <w:r>
              <w:t xml:space="preserve">identified as having diabetes on </w:t>
            </w:r>
            <w:r w:rsidR="00B41AAD">
              <w:t xml:space="preserve">the </w:t>
            </w:r>
            <w:r>
              <w:t>VDR</w:t>
            </w:r>
          </w:p>
        </w:tc>
      </w:tr>
      <w:tr w:rsidR="00564994" w:rsidRPr="00D42C24" w14:paraId="4E7C289E" w14:textId="77777777" w:rsidTr="000F18B7">
        <w:trPr>
          <w:trHeight w:val="327"/>
        </w:trPr>
        <w:tc>
          <w:tcPr>
            <w:tcW w:w="1668" w:type="dxa"/>
            <w:shd w:val="clear" w:color="auto" w:fill="auto"/>
          </w:tcPr>
          <w:p w14:paraId="53DDDBAF" w14:textId="77777777" w:rsidR="00564994" w:rsidRPr="00D42C24" w:rsidRDefault="00564994" w:rsidP="00564994">
            <w:pPr>
              <w:pStyle w:val="Header"/>
              <w:spacing w:before="60"/>
              <w:rPr>
                <w:rFonts w:cs="Arial"/>
                <w:szCs w:val="22"/>
              </w:rPr>
            </w:pPr>
            <w:r>
              <w:rPr>
                <w:rFonts w:cs="Arial"/>
                <w:szCs w:val="22"/>
              </w:rPr>
              <w:t>Data source</w:t>
            </w:r>
          </w:p>
        </w:tc>
        <w:tc>
          <w:tcPr>
            <w:tcW w:w="7654" w:type="dxa"/>
            <w:shd w:val="clear" w:color="auto" w:fill="auto"/>
          </w:tcPr>
          <w:p w14:paraId="7A97E1E0" w14:textId="7CACDAAE" w:rsidR="007971EA" w:rsidRDefault="007971EA" w:rsidP="007971EA">
            <w:pPr>
              <w:spacing w:before="60"/>
            </w:pPr>
            <w:r>
              <w:t xml:space="preserve">Pharmaceutical Collection, </w:t>
            </w:r>
            <w:r w:rsidR="001741EB">
              <w:t>Health New Zealand</w:t>
            </w:r>
          </w:p>
          <w:p w14:paraId="0141A5A4" w14:textId="2FC14357" w:rsidR="00564994" w:rsidRPr="00D42C24" w:rsidRDefault="007971EA" w:rsidP="007971EA">
            <w:pPr>
              <w:spacing w:before="60"/>
              <w:rPr>
                <w:rFonts w:cs="Arial"/>
                <w:color w:val="000000"/>
                <w:szCs w:val="22"/>
              </w:rPr>
            </w:pPr>
            <w:r>
              <w:t>VDR</w:t>
            </w:r>
          </w:p>
        </w:tc>
      </w:tr>
      <w:tr w:rsidR="00E81C80" w:rsidRPr="00D42C24" w14:paraId="0A47DF5A" w14:textId="77777777" w:rsidTr="000F18B7">
        <w:trPr>
          <w:trHeight w:val="327"/>
        </w:trPr>
        <w:tc>
          <w:tcPr>
            <w:tcW w:w="1668" w:type="dxa"/>
            <w:shd w:val="clear" w:color="auto" w:fill="auto"/>
          </w:tcPr>
          <w:p w14:paraId="0B7D922F" w14:textId="6FE74415" w:rsidR="00E81C80" w:rsidRDefault="00E81C80" w:rsidP="00E81C80">
            <w:pPr>
              <w:pStyle w:val="Header"/>
              <w:spacing w:before="60"/>
              <w:rPr>
                <w:rFonts w:cs="Arial"/>
                <w:szCs w:val="22"/>
              </w:rPr>
            </w:pPr>
            <w:r>
              <w:rPr>
                <w:rFonts w:cs="Arial"/>
                <w:szCs w:val="22"/>
              </w:rPr>
              <w:t>By variables</w:t>
            </w:r>
          </w:p>
        </w:tc>
        <w:tc>
          <w:tcPr>
            <w:tcW w:w="7654" w:type="dxa"/>
            <w:shd w:val="clear" w:color="auto" w:fill="auto"/>
            <w:vAlign w:val="bottom"/>
          </w:tcPr>
          <w:p w14:paraId="79F58D4C" w14:textId="3FA5409A" w:rsidR="00223369" w:rsidRDefault="00223369" w:rsidP="00223369">
            <w:pPr>
              <w:pStyle w:val="Header"/>
              <w:spacing w:before="60"/>
            </w:pPr>
            <w:r>
              <w:t>For single map analysis: By year (</w:t>
            </w:r>
            <w:r w:rsidR="00481942">
              <w:t>2018‒22</w:t>
            </w:r>
            <w:r>
              <w:t>), age group (</w:t>
            </w:r>
            <w:r w:rsidR="00481942">
              <w:t>0‒14</w:t>
            </w:r>
            <w:r>
              <w:t xml:space="preserve"> years, </w:t>
            </w:r>
            <w:r w:rsidR="00481942">
              <w:t>15‒24</w:t>
            </w:r>
            <w:r>
              <w:t xml:space="preserve"> years, </w:t>
            </w:r>
            <w:r w:rsidR="00481942">
              <w:t>25‒44</w:t>
            </w:r>
            <w:r>
              <w:t xml:space="preserve"> years, </w:t>
            </w:r>
            <w:r w:rsidR="00481942">
              <w:t>45‒64</w:t>
            </w:r>
            <w:r>
              <w:t xml:space="preserve"> years, </w:t>
            </w:r>
            <w:r w:rsidR="00481942">
              <w:t>65‒74</w:t>
            </w:r>
            <w:r>
              <w:t xml:space="preserve"> years and 75+ years), gender (female and male), ethnic group (Māori, Pacific peoples, Indian and </w:t>
            </w:r>
            <w:r w:rsidR="00481942">
              <w:t>European/other</w:t>
            </w:r>
            <w:r>
              <w:t>) and Health New Zealand district of domicile</w:t>
            </w:r>
            <w:r w:rsidR="005672D6">
              <w:t>.</w:t>
            </w:r>
            <w:r>
              <w:t xml:space="preserve"> </w:t>
            </w:r>
          </w:p>
          <w:p w14:paraId="6B5DD882" w14:textId="48D295AC" w:rsidR="00E81C80" w:rsidRDefault="00223369" w:rsidP="00514EA6">
            <w:pPr>
              <w:spacing w:before="60"/>
            </w:pPr>
            <w:r>
              <w:t>For PHO analysis: By year (2022), age group (</w:t>
            </w:r>
            <w:r w:rsidR="00481942">
              <w:t>0‒14</w:t>
            </w:r>
            <w:r>
              <w:t xml:space="preserve"> years, </w:t>
            </w:r>
            <w:r w:rsidR="00481942">
              <w:t>15‒24</w:t>
            </w:r>
            <w:r>
              <w:t xml:space="preserve"> years, </w:t>
            </w:r>
            <w:r w:rsidR="00481942">
              <w:t>25‒44</w:t>
            </w:r>
            <w:r>
              <w:t xml:space="preserve"> years, </w:t>
            </w:r>
            <w:r w:rsidR="00481942">
              <w:t>45‒64</w:t>
            </w:r>
            <w:r>
              <w:t xml:space="preserve"> years, </w:t>
            </w:r>
            <w:r w:rsidR="00481942">
              <w:t>65‒74</w:t>
            </w:r>
            <w:r>
              <w:t xml:space="preserve"> years and 75+ years), gender (female and male), ethnic group (Māori, Pacific peoples, Indian and </w:t>
            </w:r>
            <w:r w:rsidR="00481942">
              <w:t>European/other</w:t>
            </w:r>
            <w:r>
              <w:t xml:space="preserve">), PHO most recently enrolled with (for the relevant year), PHO group (small, medium, </w:t>
            </w:r>
            <w:r w:rsidR="007E5C3B">
              <w:t>medium‒large</w:t>
            </w:r>
            <w:r>
              <w:t xml:space="preserve"> and large).</w:t>
            </w:r>
          </w:p>
        </w:tc>
      </w:tr>
      <w:tr w:rsidR="00E81C80" w:rsidRPr="00D42C24" w14:paraId="4526E1D0" w14:textId="77777777" w:rsidTr="000F18B7">
        <w:trPr>
          <w:trHeight w:val="327"/>
        </w:trPr>
        <w:tc>
          <w:tcPr>
            <w:tcW w:w="1668" w:type="dxa"/>
            <w:shd w:val="clear" w:color="auto" w:fill="auto"/>
          </w:tcPr>
          <w:p w14:paraId="12EBA47B" w14:textId="6E100CDA" w:rsidR="00E81C80" w:rsidRDefault="00E81C80" w:rsidP="00E81C80">
            <w:pPr>
              <w:pStyle w:val="Header"/>
              <w:spacing w:before="60"/>
              <w:rPr>
                <w:rFonts w:cs="Arial"/>
                <w:szCs w:val="22"/>
              </w:rPr>
            </w:pPr>
            <w:r>
              <w:rPr>
                <w:rFonts w:cs="Arial"/>
                <w:szCs w:val="22"/>
              </w:rPr>
              <w:t>Medicines</w:t>
            </w:r>
          </w:p>
        </w:tc>
        <w:tc>
          <w:tcPr>
            <w:tcW w:w="7654" w:type="dxa"/>
            <w:shd w:val="clear" w:color="auto" w:fill="auto"/>
          </w:tcPr>
          <w:p w14:paraId="028CAD09" w14:textId="77777777" w:rsidR="00514EA6" w:rsidRDefault="00514EA6" w:rsidP="00514EA6">
            <w:pPr>
              <w:spacing w:before="60"/>
            </w:pPr>
            <w:r>
              <w:t>ACEI: 2794 benazepril, 2841 captopril, 2770 cilazapril, 2711 enalapril maleate, 2797 lisinopril, 2806 perindopril, 2772 quinapril, 1031 trandolapril, 4164 ramipril</w:t>
            </w:r>
          </w:p>
          <w:p w14:paraId="7577B3B4" w14:textId="51C4BF60" w:rsidR="00514EA6" w:rsidRDefault="00514EA6" w:rsidP="00514EA6">
            <w:pPr>
              <w:spacing w:before="60"/>
            </w:pPr>
            <w:r>
              <w:t>ACEI with diuretics: 2840 captopril with hydrochlorothiazide; 1127 cilaz</w:t>
            </w:r>
            <w:r w:rsidR="00C3692B">
              <w:t>a</w:t>
            </w:r>
            <w:r>
              <w:t>pril with hydrochlorothiazide; 2708 enalapril with hydrochlorothiazide; 2795 lisinopril with hydrochlorothiazide; 3749 quinapril with hydrochlorothiazide</w:t>
            </w:r>
          </w:p>
          <w:p w14:paraId="0C35F3B5" w14:textId="77777777" w:rsidR="00514EA6" w:rsidRDefault="00514EA6" w:rsidP="00514EA6">
            <w:pPr>
              <w:spacing w:before="60"/>
            </w:pPr>
            <w:r>
              <w:t xml:space="preserve">ARB: 1254 candesartan cilexetil, 1061 losartan potassium </w:t>
            </w:r>
          </w:p>
          <w:p w14:paraId="1CC6F6E6" w14:textId="779C771D" w:rsidR="00514EA6" w:rsidRDefault="00514EA6" w:rsidP="00514EA6">
            <w:pPr>
              <w:spacing w:before="60"/>
            </w:pPr>
            <w:r>
              <w:t xml:space="preserve">ARB with diuretics: 1068 losartan with hydrochlorothiazide; 3788 </w:t>
            </w:r>
            <w:r w:rsidR="001F2856">
              <w:t>l</w:t>
            </w:r>
            <w:r>
              <w:t xml:space="preserve">osartan with hydrochlorothiazide </w:t>
            </w:r>
          </w:p>
          <w:p w14:paraId="7511C105" w14:textId="7091CA19" w:rsidR="0082190B" w:rsidRPr="006E19D9" w:rsidRDefault="00514EA6" w:rsidP="00514EA6">
            <w:pPr>
              <w:spacing w:before="60"/>
              <w:rPr>
                <w:rFonts w:cs="Arial"/>
                <w:color w:val="000000"/>
                <w:szCs w:val="22"/>
              </w:rPr>
            </w:pPr>
            <w:r>
              <w:t xml:space="preserve">4105 </w:t>
            </w:r>
            <w:r w:rsidR="00A67FEB">
              <w:t>e</w:t>
            </w:r>
            <w:r>
              <w:t>ntresto (</w:t>
            </w:r>
            <w:r w:rsidR="001F2856">
              <w:t>s</w:t>
            </w:r>
            <w:r>
              <w:t xml:space="preserve">acubitril with </w:t>
            </w:r>
            <w:r w:rsidR="001F2856">
              <w:t>v</w:t>
            </w:r>
            <w:r>
              <w:t>alsartan)</w:t>
            </w:r>
          </w:p>
        </w:tc>
      </w:tr>
      <w:tr w:rsidR="00E81C80" w:rsidRPr="00D42C24" w14:paraId="3F751C26" w14:textId="77777777" w:rsidTr="000F18B7">
        <w:trPr>
          <w:trHeight w:val="327"/>
        </w:trPr>
        <w:tc>
          <w:tcPr>
            <w:tcW w:w="1668" w:type="dxa"/>
            <w:shd w:val="clear" w:color="auto" w:fill="auto"/>
          </w:tcPr>
          <w:p w14:paraId="61DB68B2" w14:textId="45BD274B" w:rsidR="00E81C80" w:rsidRDefault="00E81C80" w:rsidP="00E81C80">
            <w:pPr>
              <w:pStyle w:val="Header"/>
              <w:spacing w:before="60"/>
              <w:rPr>
                <w:rFonts w:cs="Arial"/>
                <w:szCs w:val="22"/>
              </w:rPr>
            </w:pPr>
            <w:r>
              <w:rPr>
                <w:rFonts w:cs="Arial"/>
                <w:szCs w:val="22"/>
              </w:rPr>
              <w:lastRenderedPageBreak/>
              <w:t>Rationale</w:t>
            </w:r>
          </w:p>
        </w:tc>
        <w:tc>
          <w:tcPr>
            <w:tcW w:w="7654" w:type="dxa"/>
            <w:shd w:val="clear" w:color="auto" w:fill="auto"/>
          </w:tcPr>
          <w:p w14:paraId="394C4EBB" w14:textId="066CE9A0" w:rsidR="00E81C80" w:rsidRPr="00C514C8" w:rsidRDefault="00E81C80" w:rsidP="00E81C80">
            <w:pPr>
              <w:spacing w:before="60"/>
            </w:pPr>
            <w:r>
              <w:t>V</w:t>
            </w:r>
            <w:r w:rsidRPr="0026458D">
              <w:t xml:space="preserve">ariation in ACEI and ARB use can occur in clinical practice due to disparities in the prevalence of diabetes-related renal and cardiovascular complications in different populations. Understanding and addressing variation in ACEI and ARB use is essential for </w:t>
            </w:r>
            <w:r w:rsidR="00CB2060">
              <w:t>optimising</w:t>
            </w:r>
            <w:r w:rsidRPr="0026458D">
              <w:t xml:space="preserve"> patient care, improving medication adherence, and achieving better health outcomes for individuals with cardiovascular and renal conditions</w:t>
            </w:r>
            <w:r w:rsidR="009A5540">
              <w:t>.</w:t>
            </w:r>
          </w:p>
        </w:tc>
      </w:tr>
      <w:tr w:rsidR="00E81C80" w:rsidRPr="00D42C24" w14:paraId="59C54050" w14:textId="77777777" w:rsidTr="000F18B7">
        <w:trPr>
          <w:trHeight w:val="327"/>
        </w:trPr>
        <w:tc>
          <w:tcPr>
            <w:tcW w:w="1668" w:type="dxa"/>
            <w:shd w:val="clear" w:color="auto" w:fill="auto"/>
          </w:tcPr>
          <w:p w14:paraId="0800E3BC" w14:textId="7C875172" w:rsidR="00E81C80" w:rsidRDefault="00E81C80" w:rsidP="00E81C80">
            <w:pPr>
              <w:pStyle w:val="Header"/>
              <w:spacing w:before="60"/>
              <w:rPr>
                <w:rFonts w:cs="Arial"/>
                <w:szCs w:val="22"/>
              </w:rPr>
            </w:pPr>
            <w:r>
              <w:rPr>
                <w:rFonts w:cs="Arial"/>
                <w:szCs w:val="22"/>
              </w:rPr>
              <w:t>Commentary</w:t>
            </w:r>
          </w:p>
        </w:tc>
        <w:tc>
          <w:tcPr>
            <w:tcW w:w="7654" w:type="dxa"/>
            <w:shd w:val="clear" w:color="auto" w:fill="auto"/>
          </w:tcPr>
          <w:p w14:paraId="02A6D958" w14:textId="77777777" w:rsidR="00514EA6" w:rsidRDefault="00514EA6" w:rsidP="00514EA6">
            <w:pPr>
              <w:spacing w:before="60"/>
            </w:pPr>
            <w:r>
              <w:t xml:space="preserve">Description: </w:t>
            </w:r>
          </w:p>
          <w:p w14:paraId="55ECA5A3" w14:textId="74D0DCE2" w:rsidR="00514EA6" w:rsidRDefault="00514EA6" w:rsidP="00514EA6">
            <w:pPr>
              <w:spacing w:before="60"/>
            </w:pPr>
            <w:r>
              <w:t xml:space="preserve">This indicator shows the number and percent of people with diabetes receiving angiotensin converting enzyme inhibitor (ACEI) or an </w:t>
            </w:r>
            <w:r w:rsidR="00B517D1">
              <w:t>angiotensin</w:t>
            </w:r>
            <w:r>
              <w:t xml:space="preserve"> receptor blocker (ARB) in three or four quarters in the relevant year</w:t>
            </w:r>
            <w:r w:rsidR="00883344">
              <w:t>.</w:t>
            </w:r>
          </w:p>
          <w:p w14:paraId="48E1CCD4" w14:textId="77777777" w:rsidR="00514EA6" w:rsidRDefault="00514EA6" w:rsidP="00AD184B">
            <w:pPr>
              <w:spacing w:before="240"/>
            </w:pPr>
            <w:r>
              <w:t>Why is this indicator important?</w:t>
            </w:r>
          </w:p>
          <w:p w14:paraId="197BBB4F" w14:textId="0BB6B4F4" w:rsidR="00514EA6" w:rsidRDefault="00514EA6" w:rsidP="00514EA6">
            <w:pPr>
              <w:spacing w:before="60"/>
            </w:pPr>
            <w:r>
              <w:t>Intensive management of blood pressure and microalbuminuria are recommended to prevent progression of renal disease in diabetes. ACEIs and ARBs are first</w:t>
            </w:r>
            <w:r w:rsidR="00B40D1E">
              <w:t>-</w:t>
            </w:r>
            <w:r>
              <w:t>line treatments for raised blood pressure and/or microalbuminuria.</w:t>
            </w:r>
          </w:p>
          <w:p w14:paraId="76F96D2A" w14:textId="785118D1" w:rsidR="00514EA6" w:rsidRDefault="00514EA6" w:rsidP="00AD184B">
            <w:pPr>
              <w:spacing w:before="240"/>
            </w:pPr>
            <w:r>
              <w:t>What questions does this prompt?</w:t>
            </w:r>
          </w:p>
          <w:p w14:paraId="59DDDB18" w14:textId="7B48A903" w:rsidR="00514EA6" w:rsidRDefault="00514EA6" w:rsidP="001E6CE2">
            <w:pPr>
              <w:pStyle w:val="ListParagraph"/>
              <w:numPr>
                <w:ilvl w:val="0"/>
                <w:numId w:val="9"/>
              </w:numPr>
              <w:spacing w:before="60" w:after="60"/>
              <w:ind w:left="357" w:hanging="357"/>
              <w:contextualSpacing w:val="0"/>
            </w:pPr>
            <w:r>
              <w:t>Do rates reflect the incidence of mic</w:t>
            </w:r>
            <w:r w:rsidR="00B517D1">
              <w:t>ro</w:t>
            </w:r>
            <w:r>
              <w:t>albuminuria?</w:t>
            </w:r>
          </w:p>
          <w:p w14:paraId="2F2B04DB" w14:textId="77777777" w:rsidR="00514EA6" w:rsidRDefault="00514EA6" w:rsidP="001E6CE2">
            <w:pPr>
              <w:pStyle w:val="ListParagraph"/>
              <w:numPr>
                <w:ilvl w:val="0"/>
                <w:numId w:val="9"/>
              </w:numPr>
              <w:spacing w:before="60" w:after="60"/>
              <w:ind w:left="357" w:hanging="357"/>
              <w:contextualSpacing w:val="0"/>
            </w:pPr>
            <w:r>
              <w:t>In your local area, how many patients with microalbuminuria are receiving either an ACEI or ARB?</w:t>
            </w:r>
          </w:p>
          <w:p w14:paraId="252D6696" w14:textId="0EB91F30" w:rsidR="00E81C80" w:rsidRPr="00C514C8" w:rsidRDefault="00514EA6" w:rsidP="00AD184B">
            <w:pPr>
              <w:pStyle w:val="ListParagraph"/>
              <w:numPr>
                <w:ilvl w:val="0"/>
                <w:numId w:val="9"/>
              </w:numPr>
              <w:spacing w:before="60" w:after="120"/>
            </w:pPr>
            <w:r>
              <w:t xml:space="preserve">How do Health New Zealand districts with a similar </w:t>
            </w:r>
            <w:r w:rsidR="00B517D1">
              <w:t>casemix</w:t>
            </w:r>
            <w:r>
              <w:t xml:space="preserve"> compare?</w:t>
            </w:r>
          </w:p>
        </w:tc>
      </w:tr>
    </w:tbl>
    <w:p w14:paraId="0C2F1D67" w14:textId="77777777" w:rsidR="0000087A" w:rsidRDefault="0000087A" w:rsidP="0000087A">
      <w:pPr>
        <w:rPr>
          <w:rFonts w:cs="Arial"/>
          <w:szCs w:val="22"/>
        </w:rPr>
      </w:pPr>
    </w:p>
    <w:tbl>
      <w:tblPr>
        <w:tblW w:w="932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A0" w:firstRow="1" w:lastRow="0" w:firstColumn="1" w:lastColumn="0" w:noHBand="0" w:noVBand="0"/>
      </w:tblPr>
      <w:tblGrid>
        <w:gridCol w:w="1668"/>
        <w:gridCol w:w="7654"/>
      </w:tblGrid>
      <w:tr w:rsidR="00564994" w:rsidRPr="00D42C24" w14:paraId="1D5C3A44" w14:textId="77777777" w:rsidTr="000F18B7">
        <w:trPr>
          <w:trHeight w:val="327"/>
        </w:trPr>
        <w:tc>
          <w:tcPr>
            <w:tcW w:w="1668" w:type="dxa"/>
            <w:shd w:val="clear" w:color="auto" w:fill="auto"/>
          </w:tcPr>
          <w:p w14:paraId="203E8652" w14:textId="10D61906" w:rsidR="00564994" w:rsidRPr="00D42C24" w:rsidRDefault="00564994" w:rsidP="00564994">
            <w:pPr>
              <w:pStyle w:val="Header"/>
              <w:spacing w:before="60"/>
              <w:rPr>
                <w:rFonts w:cs="Arial"/>
                <w:b/>
                <w:color w:val="808080"/>
                <w:szCs w:val="22"/>
              </w:rPr>
            </w:pPr>
            <w:r w:rsidRPr="00D42C24">
              <w:rPr>
                <w:rFonts w:cs="Arial"/>
                <w:b/>
                <w:szCs w:val="22"/>
              </w:rPr>
              <w:t>Indicator #</w:t>
            </w:r>
            <w:r w:rsidR="00B060BD">
              <w:rPr>
                <w:rFonts w:cs="Arial"/>
                <w:b/>
                <w:szCs w:val="22"/>
              </w:rPr>
              <w:t>10</w:t>
            </w:r>
            <w:r w:rsidRPr="00D42C24">
              <w:rPr>
                <w:rFonts w:cs="Arial"/>
                <w:b/>
                <w:szCs w:val="22"/>
              </w:rPr>
              <w:t>:</w:t>
            </w:r>
          </w:p>
        </w:tc>
        <w:tc>
          <w:tcPr>
            <w:tcW w:w="7654" w:type="dxa"/>
            <w:shd w:val="clear" w:color="auto" w:fill="auto"/>
          </w:tcPr>
          <w:p w14:paraId="19B3AF63" w14:textId="4757E125" w:rsidR="00564994" w:rsidRPr="00D42C24" w:rsidRDefault="00564994" w:rsidP="00564994">
            <w:pPr>
              <w:pStyle w:val="Header"/>
              <w:spacing w:before="60"/>
              <w:rPr>
                <w:rFonts w:cs="Arial"/>
                <w:b/>
                <w:color w:val="000000"/>
                <w:szCs w:val="22"/>
              </w:rPr>
            </w:pPr>
            <w:r w:rsidRPr="009F0BE6">
              <w:t>People with diabetes admitted one or more times to hospital with diabetic ketoacidosis</w:t>
            </w:r>
          </w:p>
        </w:tc>
      </w:tr>
      <w:tr w:rsidR="00564994" w:rsidRPr="00D42C24" w14:paraId="3CF9C295" w14:textId="77777777" w:rsidTr="000F18B7">
        <w:trPr>
          <w:trHeight w:val="327"/>
        </w:trPr>
        <w:tc>
          <w:tcPr>
            <w:tcW w:w="1668" w:type="dxa"/>
            <w:shd w:val="clear" w:color="auto" w:fill="auto"/>
          </w:tcPr>
          <w:p w14:paraId="7633F93F" w14:textId="77777777" w:rsidR="00564994" w:rsidRPr="00D42C24" w:rsidRDefault="00564994" w:rsidP="00564994">
            <w:pPr>
              <w:pStyle w:val="Header"/>
              <w:spacing w:before="60"/>
              <w:rPr>
                <w:rFonts w:cs="Arial"/>
                <w:szCs w:val="22"/>
              </w:rPr>
            </w:pPr>
            <w:r w:rsidRPr="00D42C24">
              <w:rPr>
                <w:rFonts w:cs="Arial"/>
                <w:szCs w:val="22"/>
              </w:rPr>
              <w:t>Numerator</w:t>
            </w:r>
          </w:p>
        </w:tc>
        <w:tc>
          <w:tcPr>
            <w:tcW w:w="7654" w:type="dxa"/>
            <w:shd w:val="clear" w:color="auto" w:fill="auto"/>
          </w:tcPr>
          <w:p w14:paraId="2C4376B2" w14:textId="77777777" w:rsidR="00514EA6" w:rsidRDefault="00514EA6" w:rsidP="00514EA6">
            <w:pPr>
              <w:pStyle w:val="Header"/>
              <w:spacing w:before="60"/>
            </w:pPr>
            <w:r>
              <w:t xml:space="preserve">People with diabetes admitted to hospital with primary diagnosis of diabetic </w:t>
            </w:r>
            <w:proofErr w:type="gramStart"/>
            <w:r>
              <w:t>ketoacidosis</w:t>
            </w:r>
            <w:proofErr w:type="gramEnd"/>
          </w:p>
          <w:p w14:paraId="42EDEF15" w14:textId="332D54FE" w:rsidR="00C5148A" w:rsidRPr="00D42C24" w:rsidRDefault="00514EA6" w:rsidP="00514EA6">
            <w:pPr>
              <w:pStyle w:val="Header"/>
              <w:spacing w:before="60"/>
              <w:rPr>
                <w:rFonts w:cs="Arial"/>
                <w:color w:val="000000"/>
                <w:szCs w:val="22"/>
              </w:rPr>
            </w:pPr>
            <w:r>
              <w:t>ICD10 Codes: E101, E111, E131, E141</w:t>
            </w:r>
          </w:p>
        </w:tc>
      </w:tr>
      <w:tr w:rsidR="00564994" w:rsidRPr="00D42C24" w14:paraId="1131ACF6" w14:textId="77777777" w:rsidTr="000F18B7">
        <w:trPr>
          <w:trHeight w:val="327"/>
        </w:trPr>
        <w:tc>
          <w:tcPr>
            <w:tcW w:w="1668" w:type="dxa"/>
            <w:shd w:val="clear" w:color="auto" w:fill="auto"/>
          </w:tcPr>
          <w:p w14:paraId="54AAB2AF" w14:textId="77777777" w:rsidR="00564994" w:rsidRPr="00D42C24" w:rsidRDefault="00564994" w:rsidP="00564994">
            <w:pPr>
              <w:pStyle w:val="Header"/>
              <w:spacing w:before="60"/>
              <w:rPr>
                <w:rFonts w:cs="Arial"/>
                <w:szCs w:val="22"/>
              </w:rPr>
            </w:pPr>
            <w:r w:rsidRPr="00D42C24">
              <w:rPr>
                <w:rFonts w:cs="Arial"/>
                <w:szCs w:val="22"/>
              </w:rPr>
              <w:t>Denominator</w:t>
            </w:r>
          </w:p>
        </w:tc>
        <w:tc>
          <w:tcPr>
            <w:tcW w:w="7654" w:type="dxa"/>
            <w:shd w:val="clear" w:color="auto" w:fill="auto"/>
          </w:tcPr>
          <w:p w14:paraId="3395B446" w14:textId="20709D44" w:rsidR="00564994" w:rsidRPr="00D42C24" w:rsidRDefault="0026458D" w:rsidP="00564994">
            <w:pPr>
              <w:pStyle w:val="Header"/>
              <w:spacing w:before="60"/>
              <w:rPr>
                <w:rFonts w:cs="Arial"/>
                <w:color w:val="000000"/>
                <w:szCs w:val="22"/>
              </w:rPr>
            </w:pPr>
            <w:r w:rsidRPr="0026458D">
              <w:t xml:space="preserve">Count of distinct master NHIs identified as having diabetes on </w:t>
            </w:r>
            <w:r w:rsidR="00B41AAD">
              <w:t xml:space="preserve">the </w:t>
            </w:r>
            <w:r w:rsidRPr="0026458D">
              <w:t>VDR</w:t>
            </w:r>
          </w:p>
        </w:tc>
      </w:tr>
      <w:tr w:rsidR="00564994" w:rsidRPr="00D42C24" w14:paraId="2662F539" w14:textId="77777777" w:rsidTr="000F18B7">
        <w:trPr>
          <w:trHeight w:val="327"/>
        </w:trPr>
        <w:tc>
          <w:tcPr>
            <w:tcW w:w="1668" w:type="dxa"/>
            <w:shd w:val="clear" w:color="auto" w:fill="auto"/>
          </w:tcPr>
          <w:p w14:paraId="39C51071" w14:textId="77777777" w:rsidR="00564994" w:rsidRPr="00D42C24" w:rsidRDefault="00564994" w:rsidP="00564994">
            <w:pPr>
              <w:pStyle w:val="Header"/>
              <w:spacing w:before="60"/>
              <w:rPr>
                <w:rFonts w:cs="Arial"/>
                <w:szCs w:val="22"/>
              </w:rPr>
            </w:pPr>
            <w:r>
              <w:rPr>
                <w:rFonts w:cs="Arial"/>
                <w:szCs w:val="22"/>
              </w:rPr>
              <w:t>Data source</w:t>
            </w:r>
          </w:p>
        </w:tc>
        <w:tc>
          <w:tcPr>
            <w:tcW w:w="7654" w:type="dxa"/>
            <w:shd w:val="clear" w:color="auto" w:fill="auto"/>
          </w:tcPr>
          <w:p w14:paraId="4FA3E45B" w14:textId="210BA679" w:rsidR="00564994" w:rsidRDefault="00AD6FC0" w:rsidP="00564994">
            <w:pPr>
              <w:spacing w:before="60"/>
            </w:pPr>
            <w:r>
              <w:t>NMDS</w:t>
            </w:r>
          </w:p>
          <w:p w14:paraId="53C0F013" w14:textId="77777777" w:rsidR="000B241E" w:rsidRDefault="004244BF" w:rsidP="00564994">
            <w:pPr>
              <w:spacing w:before="60"/>
            </w:pPr>
            <w:r>
              <w:t>VDR</w:t>
            </w:r>
          </w:p>
          <w:p w14:paraId="581485EF" w14:textId="534585AB" w:rsidR="002E3776" w:rsidRPr="00D6250D" w:rsidRDefault="002E3776" w:rsidP="00564994">
            <w:pPr>
              <w:spacing w:before="60"/>
            </w:pPr>
            <w:r>
              <w:t>PHO enrolment collection</w:t>
            </w:r>
          </w:p>
        </w:tc>
      </w:tr>
      <w:tr w:rsidR="00E81C80" w:rsidRPr="00D42C24" w14:paraId="06A4EAF1" w14:textId="77777777" w:rsidTr="000F18B7">
        <w:trPr>
          <w:trHeight w:val="327"/>
        </w:trPr>
        <w:tc>
          <w:tcPr>
            <w:tcW w:w="1668" w:type="dxa"/>
            <w:shd w:val="clear" w:color="auto" w:fill="auto"/>
          </w:tcPr>
          <w:p w14:paraId="74A809D6" w14:textId="01800AA5" w:rsidR="00E81C80" w:rsidRDefault="00E81C80" w:rsidP="00E81C80">
            <w:pPr>
              <w:pStyle w:val="Header"/>
              <w:spacing w:before="60"/>
              <w:rPr>
                <w:rFonts w:cs="Arial"/>
                <w:szCs w:val="22"/>
              </w:rPr>
            </w:pPr>
            <w:r>
              <w:rPr>
                <w:rFonts w:cs="Arial"/>
                <w:szCs w:val="22"/>
              </w:rPr>
              <w:t>By variables</w:t>
            </w:r>
          </w:p>
        </w:tc>
        <w:tc>
          <w:tcPr>
            <w:tcW w:w="7654" w:type="dxa"/>
            <w:shd w:val="clear" w:color="auto" w:fill="auto"/>
            <w:vAlign w:val="bottom"/>
          </w:tcPr>
          <w:p w14:paraId="6B953C90" w14:textId="00C9C3EB" w:rsidR="00223369" w:rsidRDefault="00223369" w:rsidP="00223369">
            <w:pPr>
              <w:pStyle w:val="Header"/>
              <w:spacing w:before="60"/>
            </w:pPr>
            <w:r>
              <w:t>For single map analysis: By year (</w:t>
            </w:r>
            <w:r w:rsidR="00481942">
              <w:t>2018‒22</w:t>
            </w:r>
            <w:r>
              <w:t>), age group (</w:t>
            </w:r>
            <w:r w:rsidR="00481942">
              <w:t>0‒14</w:t>
            </w:r>
            <w:r>
              <w:t xml:space="preserve"> years, </w:t>
            </w:r>
            <w:r w:rsidR="00481942">
              <w:t>15‒24</w:t>
            </w:r>
            <w:r>
              <w:t xml:space="preserve"> years, </w:t>
            </w:r>
            <w:r w:rsidR="00481942">
              <w:t>25‒44</w:t>
            </w:r>
            <w:r>
              <w:t xml:space="preserve"> years, </w:t>
            </w:r>
            <w:r w:rsidR="00481942">
              <w:t>45‒64</w:t>
            </w:r>
            <w:r>
              <w:t xml:space="preserve"> years, </w:t>
            </w:r>
            <w:r w:rsidR="00481942">
              <w:t>65‒74</w:t>
            </w:r>
            <w:r>
              <w:t xml:space="preserve"> years and 75+ years), gender (female and male), ethnic group (Māori, Pacific peoples, Indian and </w:t>
            </w:r>
            <w:r w:rsidR="00481942">
              <w:t>European/other</w:t>
            </w:r>
            <w:r>
              <w:t>) and Health New Zealand district of domicile</w:t>
            </w:r>
            <w:r w:rsidR="00CE1E5E">
              <w:t>.</w:t>
            </w:r>
            <w:r>
              <w:t xml:space="preserve"> </w:t>
            </w:r>
          </w:p>
          <w:p w14:paraId="6D8E4974" w14:textId="48E8ADE4" w:rsidR="00E81C80" w:rsidRDefault="00223369" w:rsidP="00514EA6">
            <w:pPr>
              <w:spacing w:before="60"/>
            </w:pPr>
            <w:r>
              <w:t>For PHO analysis: By year (2022), age group (</w:t>
            </w:r>
            <w:r w:rsidR="00481942">
              <w:t>0‒14</w:t>
            </w:r>
            <w:r>
              <w:t xml:space="preserve"> years, </w:t>
            </w:r>
            <w:r w:rsidR="00481942">
              <w:t>15‒24</w:t>
            </w:r>
            <w:r>
              <w:t xml:space="preserve"> years, </w:t>
            </w:r>
            <w:r w:rsidR="00481942">
              <w:t>25‒44</w:t>
            </w:r>
            <w:r>
              <w:t xml:space="preserve"> years, </w:t>
            </w:r>
            <w:r w:rsidR="00481942">
              <w:t>45‒64</w:t>
            </w:r>
            <w:r>
              <w:t xml:space="preserve"> years, </w:t>
            </w:r>
            <w:r w:rsidR="00481942">
              <w:t>65‒74</w:t>
            </w:r>
            <w:r>
              <w:t xml:space="preserve"> years and 75+ years), gender (female and male), ethnic group (Māori, Pacific peoples, Indian and </w:t>
            </w:r>
            <w:r w:rsidR="00481942">
              <w:t>European/other</w:t>
            </w:r>
            <w:r>
              <w:t xml:space="preserve">), PHO most recently enrolled with (for the relevant year), PHO group (small, medium, </w:t>
            </w:r>
            <w:r w:rsidR="007E5C3B">
              <w:t>medium‒large</w:t>
            </w:r>
            <w:r>
              <w:t xml:space="preserve"> and large).</w:t>
            </w:r>
          </w:p>
        </w:tc>
      </w:tr>
      <w:tr w:rsidR="00E81C80" w:rsidRPr="00D42C24" w14:paraId="3492006E" w14:textId="77777777" w:rsidTr="000F18B7">
        <w:trPr>
          <w:trHeight w:val="327"/>
        </w:trPr>
        <w:tc>
          <w:tcPr>
            <w:tcW w:w="1668" w:type="dxa"/>
            <w:shd w:val="clear" w:color="auto" w:fill="auto"/>
          </w:tcPr>
          <w:p w14:paraId="60C607B0" w14:textId="55EF2C93" w:rsidR="00E81C80" w:rsidRDefault="00E81C80" w:rsidP="00E81C80">
            <w:pPr>
              <w:pStyle w:val="Header"/>
              <w:spacing w:before="60"/>
              <w:rPr>
                <w:rFonts w:cs="Arial"/>
                <w:szCs w:val="22"/>
              </w:rPr>
            </w:pPr>
            <w:r>
              <w:rPr>
                <w:rFonts w:cs="Arial"/>
                <w:szCs w:val="22"/>
              </w:rPr>
              <w:t>Rationale</w:t>
            </w:r>
          </w:p>
        </w:tc>
        <w:tc>
          <w:tcPr>
            <w:tcW w:w="7654" w:type="dxa"/>
            <w:shd w:val="clear" w:color="auto" w:fill="auto"/>
          </w:tcPr>
          <w:p w14:paraId="2821D26A" w14:textId="0464E44D" w:rsidR="00E81C80" w:rsidRDefault="00E81C80" w:rsidP="00E81C80">
            <w:pPr>
              <w:spacing w:before="60"/>
            </w:pPr>
            <w:r w:rsidRPr="00B93592">
              <w:t xml:space="preserve">Understanding the reasons behind variations in </w:t>
            </w:r>
            <w:r>
              <w:t xml:space="preserve">the </w:t>
            </w:r>
            <w:r w:rsidRPr="00B93592">
              <w:t>prevalence</w:t>
            </w:r>
            <w:r>
              <w:t xml:space="preserve"> of diabetic ketoacidosis</w:t>
            </w:r>
            <w:r w:rsidRPr="00B93592">
              <w:t xml:space="preserve"> is crucial for improving diabetes management and preventing this life-threatening condition</w:t>
            </w:r>
            <w:r>
              <w:t>.</w:t>
            </w:r>
          </w:p>
        </w:tc>
      </w:tr>
      <w:tr w:rsidR="00E81C80" w:rsidRPr="00D42C24" w14:paraId="3434047C" w14:textId="77777777" w:rsidTr="000F18B7">
        <w:trPr>
          <w:trHeight w:val="327"/>
        </w:trPr>
        <w:tc>
          <w:tcPr>
            <w:tcW w:w="1668" w:type="dxa"/>
            <w:shd w:val="clear" w:color="auto" w:fill="auto"/>
          </w:tcPr>
          <w:p w14:paraId="3D66458D" w14:textId="0E198D3E" w:rsidR="00E81C80" w:rsidRPr="00D42C24" w:rsidRDefault="00E81C80" w:rsidP="00E81C80">
            <w:pPr>
              <w:pStyle w:val="Header"/>
              <w:spacing w:before="60"/>
              <w:rPr>
                <w:rFonts w:cs="Arial"/>
                <w:szCs w:val="22"/>
              </w:rPr>
            </w:pPr>
            <w:r w:rsidRPr="00D42C24">
              <w:rPr>
                <w:rFonts w:cs="Arial"/>
                <w:szCs w:val="22"/>
              </w:rPr>
              <w:lastRenderedPageBreak/>
              <w:t>Comment</w:t>
            </w:r>
            <w:r>
              <w:rPr>
                <w:rFonts w:cs="Arial"/>
                <w:szCs w:val="22"/>
              </w:rPr>
              <w:t>ary</w:t>
            </w:r>
          </w:p>
        </w:tc>
        <w:tc>
          <w:tcPr>
            <w:tcW w:w="7654" w:type="dxa"/>
            <w:shd w:val="clear" w:color="auto" w:fill="auto"/>
          </w:tcPr>
          <w:p w14:paraId="1D2929CC" w14:textId="77777777" w:rsidR="00514EA6" w:rsidRDefault="00514EA6" w:rsidP="00514EA6">
            <w:pPr>
              <w:pStyle w:val="Header"/>
              <w:spacing w:before="60"/>
            </w:pPr>
            <w:r>
              <w:t>Description:</w:t>
            </w:r>
          </w:p>
          <w:p w14:paraId="4F352FC1" w14:textId="2163D0C8" w:rsidR="00514EA6" w:rsidRDefault="00514EA6" w:rsidP="00514EA6">
            <w:pPr>
              <w:pStyle w:val="Header"/>
              <w:spacing w:before="60"/>
            </w:pPr>
            <w:r>
              <w:t>This indicator shows the number and percent of people with diabetes admitted</w:t>
            </w:r>
            <w:r w:rsidR="00394485">
              <w:t xml:space="preserve"> </w:t>
            </w:r>
            <w:r>
              <w:t>to hospital with the primary diagnosis of diabetic ketoacidosis one or more times in the relevant year.</w:t>
            </w:r>
          </w:p>
          <w:p w14:paraId="4675E53E" w14:textId="77777777" w:rsidR="00514EA6" w:rsidRDefault="00514EA6" w:rsidP="00863FDF">
            <w:pPr>
              <w:pStyle w:val="Header"/>
              <w:spacing w:before="240"/>
            </w:pPr>
            <w:r>
              <w:t xml:space="preserve">Note: </w:t>
            </w:r>
          </w:p>
          <w:p w14:paraId="33E8451B" w14:textId="21688260" w:rsidR="00514EA6" w:rsidRDefault="00514EA6" w:rsidP="00514EA6">
            <w:pPr>
              <w:pStyle w:val="Header"/>
              <w:spacing w:before="60"/>
            </w:pPr>
            <w:r>
              <w:t>This indicator does not include people who were treated in the emergency department</w:t>
            </w:r>
            <w:r w:rsidR="00CC1B9A">
              <w:t xml:space="preserve"> (ED)</w:t>
            </w:r>
            <w:r>
              <w:t>. It should be noted that the decision to admit depends on the severity and cause. It is recommended that Health New Zealand districts analyse their ED attendances.</w:t>
            </w:r>
          </w:p>
          <w:p w14:paraId="25F8799F" w14:textId="77777777" w:rsidR="00514EA6" w:rsidRDefault="00514EA6" w:rsidP="00863FDF">
            <w:pPr>
              <w:pStyle w:val="Header"/>
              <w:spacing w:before="240"/>
            </w:pPr>
            <w:r>
              <w:t xml:space="preserve">Why is this important? </w:t>
            </w:r>
          </w:p>
          <w:p w14:paraId="485E926B" w14:textId="77777777" w:rsidR="00514EA6" w:rsidRDefault="00514EA6" w:rsidP="00514EA6">
            <w:pPr>
              <w:pStyle w:val="Header"/>
              <w:spacing w:before="60"/>
            </w:pPr>
            <w:r>
              <w:t xml:space="preserve">Diabetic ketoacidosis is a potentially life-threatening complication of diabetes that occurs mainly in people with type 1 diabetes, but also sometimes occur in those with type 2 diabetes. It can occur in previously undiagnosed diabetes, or as an effect of illness or poor compliance with insulin therapy. Diabetic ketoacidosis should be a rare event, with a single occurrence being a marker of care quality. </w:t>
            </w:r>
          </w:p>
          <w:p w14:paraId="4DAA9167" w14:textId="77777777" w:rsidR="00514EA6" w:rsidRDefault="00514EA6" w:rsidP="00863FDF">
            <w:pPr>
              <w:pStyle w:val="Header"/>
              <w:spacing w:before="240"/>
            </w:pPr>
            <w:r>
              <w:t>What questions does this prompt?</w:t>
            </w:r>
          </w:p>
          <w:p w14:paraId="23990CE3" w14:textId="77777777" w:rsidR="00514EA6" w:rsidRDefault="00514EA6" w:rsidP="00863FDF">
            <w:pPr>
              <w:pStyle w:val="Header"/>
              <w:numPr>
                <w:ilvl w:val="0"/>
                <w:numId w:val="10"/>
              </w:numPr>
              <w:spacing w:before="60"/>
              <w:ind w:left="360"/>
            </w:pPr>
            <w:r>
              <w:t>Where admission rates are consistently low, what might this be due to?</w:t>
            </w:r>
          </w:p>
          <w:p w14:paraId="41902C98" w14:textId="77777777" w:rsidR="00514EA6" w:rsidRDefault="00514EA6" w:rsidP="00863FDF">
            <w:pPr>
              <w:pStyle w:val="Header"/>
              <w:numPr>
                <w:ilvl w:val="0"/>
                <w:numId w:val="10"/>
              </w:numPr>
              <w:spacing w:before="60"/>
              <w:ind w:left="360"/>
            </w:pPr>
            <w:r>
              <w:t>Where admission rates are consistently high, what might this be due to?</w:t>
            </w:r>
          </w:p>
          <w:p w14:paraId="530B8BAC" w14:textId="77777777" w:rsidR="00514EA6" w:rsidRDefault="00514EA6" w:rsidP="00863FDF">
            <w:pPr>
              <w:pStyle w:val="Header"/>
              <w:numPr>
                <w:ilvl w:val="0"/>
                <w:numId w:val="10"/>
              </w:numPr>
              <w:spacing w:before="60"/>
              <w:ind w:left="360"/>
            </w:pPr>
            <w:r>
              <w:t>Are psychosocial services available in the Health New Zealand district, particularly for young people?</w:t>
            </w:r>
          </w:p>
          <w:p w14:paraId="178714C2" w14:textId="290FD565" w:rsidR="00E81C80" w:rsidRPr="00863FDF" w:rsidRDefault="00514EA6" w:rsidP="00863FDF">
            <w:pPr>
              <w:pStyle w:val="Header"/>
              <w:numPr>
                <w:ilvl w:val="0"/>
                <w:numId w:val="10"/>
              </w:numPr>
              <w:spacing w:before="60" w:after="120"/>
              <w:ind w:left="360"/>
            </w:pPr>
            <w:r>
              <w:t>In each Health New Zealand district, how many patients present to ED with diabetic ketoacidosis as a primary diagnosis?</w:t>
            </w:r>
          </w:p>
        </w:tc>
      </w:tr>
    </w:tbl>
    <w:p w14:paraId="76947A94" w14:textId="0D4D510A" w:rsidR="00F64B6A" w:rsidRDefault="00F64B6A"/>
    <w:tbl>
      <w:tblPr>
        <w:tblW w:w="932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A0" w:firstRow="1" w:lastRow="0" w:firstColumn="1" w:lastColumn="0" w:noHBand="0" w:noVBand="0"/>
      </w:tblPr>
      <w:tblGrid>
        <w:gridCol w:w="1668"/>
        <w:gridCol w:w="7654"/>
      </w:tblGrid>
      <w:tr w:rsidR="00564994" w:rsidRPr="00253C3C" w14:paraId="7B8A2798" w14:textId="77777777" w:rsidTr="00FD11B2">
        <w:trPr>
          <w:trHeight w:val="327"/>
        </w:trPr>
        <w:tc>
          <w:tcPr>
            <w:tcW w:w="1668" w:type="dxa"/>
            <w:shd w:val="clear" w:color="auto" w:fill="auto"/>
          </w:tcPr>
          <w:p w14:paraId="36512E91" w14:textId="77A4EB16" w:rsidR="00564994" w:rsidRPr="00253C3C" w:rsidRDefault="00564994" w:rsidP="00564994">
            <w:pPr>
              <w:pStyle w:val="Header"/>
              <w:spacing w:before="60"/>
              <w:rPr>
                <w:rFonts w:cs="Arial"/>
                <w:b/>
                <w:szCs w:val="22"/>
              </w:rPr>
            </w:pPr>
            <w:r w:rsidRPr="00D42C24">
              <w:rPr>
                <w:rFonts w:cs="Arial"/>
                <w:b/>
                <w:szCs w:val="22"/>
              </w:rPr>
              <w:t>Indicator #</w:t>
            </w:r>
            <w:r w:rsidR="00B060BD">
              <w:rPr>
                <w:rFonts w:cs="Arial"/>
                <w:b/>
                <w:szCs w:val="22"/>
              </w:rPr>
              <w:t>11</w:t>
            </w:r>
            <w:r w:rsidRPr="00D42C24">
              <w:rPr>
                <w:rFonts w:cs="Arial"/>
                <w:b/>
                <w:szCs w:val="22"/>
              </w:rPr>
              <w:t>:</w:t>
            </w:r>
          </w:p>
        </w:tc>
        <w:tc>
          <w:tcPr>
            <w:tcW w:w="7654" w:type="dxa"/>
            <w:shd w:val="clear" w:color="auto" w:fill="auto"/>
          </w:tcPr>
          <w:p w14:paraId="6374310A" w14:textId="07A89454" w:rsidR="00564994" w:rsidRPr="00253C3C" w:rsidRDefault="00564994" w:rsidP="00564994">
            <w:pPr>
              <w:pStyle w:val="Header"/>
              <w:spacing w:before="60"/>
              <w:rPr>
                <w:rFonts w:cs="Arial"/>
                <w:b/>
                <w:szCs w:val="22"/>
              </w:rPr>
            </w:pPr>
            <w:r w:rsidRPr="008B75E4">
              <w:t>People with diabetes admitted to hospital with hypoglycaemia</w:t>
            </w:r>
          </w:p>
        </w:tc>
      </w:tr>
      <w:tr w:rsidR="00564994" w:rsidRPr="00D42C24" w14:paraId="412516F3" w14:textId="77777777" w:rsidTr="00FD11B2">
        <w:trPr>
          <w:trHeight w:val="327"/>
        </w:trPr>
        <w:tc>
          <w:tcPr>
            <w:tcW w:w="1668" w:type="dxa"/>
            <w:shd w:val="clear" w:color="auto" w:fill="auto"/>
          </w:tcPr>
          <w:p w14:paraId="7E1DDFAF" w14:textId="77777777" w:rsidR="00564994" w:rsidRPr="00D42C24" w:rsidRDefault="00564994" w:rsidP="00564994">
            <w:pPr>
              <w:pStyle w:val="Header"/>
              <w:spacing w:before="60"/>
              <w:rPr>
                <w:rFonts w:cs="Arial"/>
                <w:szCs w:val="22"/>
              </w:rPr>
            </w:pPr>
            <w:r w:rsidRPr="00D42C24">
              <w:rPr>
                <w:rFonts w:cs="Arial"/>
                <w:szCs w:val="22"/>
              </w:rPr>
              <w:t>Numerator</w:t>
            </w:r>
          </w:p>
        </w:tc>
        <w:tc>
          <w:tcPr>
            <w:tcW w:w="7654" w:type="dxa"/>
            <w:shd w:val="clear" w:color="auto" w:fill="auto"/>
          </w:tcPr>
          <w:p w14:paraId="70607305" w14:textId="40760125" w:rsidR="00564994" w:rsidRDefault="00564994" w:rsidP="00564994">
            <w:pPr>
              <w:pStyle w:val="Header"/>
              <w:spacing w:before="60"/>
            </w:pPr>
            <w:r w:rsidRPr="008B75E4">
              <w:t>People with diabetes admitted to hospital with</w:t>
            </w:r>
            <w:r w:rsidR="00514EA6">
              <w:t xml:space="preserve"> a primary diagnosis of</w:t>
            </w:r>
            <w:r w:rsidRPr="008B75E4">
              <w:t xml:space="preserve"> hypoglycaemia</w:t>
            </w:r>
          </w:p>
          <w:p w14:paraId="5B1B4B50" w14:textId="3F296AFF" w:rsidR="00C5148A" w:rsidRPr="00D42C24" w:rsidRDefault="00C5148A" w:rsidP="00564994">
            <w:pPr>
              <w:pStyle w:val="Header"/>
              <w:spacing w:before="60"/>
              <w:rPr>
                <w:rFonts w:cs="Arial"/>
                <w:color w:val="000000"/>
                <w:szCs w:val="22"/>
              </w:rPr>
            </w:pPr>
            <w:r>
              <w:t xml:space="preserve">ICD10 codes: </w:t>
            </w:r>
            <w:r w:rsidRPr="00523BF9">
              <w:t>E1064,</w:t>
            </w:r>
            <w:r>
              <w:t xml:space="preserve"> </w:t>
            </w:r>
            <w:r w:rsidRPr="00523BF9">
              <w:t>E1164,</w:t>
            </w:r>
            <w:r>
              <w:t xml:space="preserve"> </w:t>
            </w:r>
            <w:r w:rsidRPr="00523BF9">
              <w:t>E1364,</w:t>
            </w:r>
            <w:r>
              <w:t xml:space="preserve"> </w:t>
            </w:r>
            <w:r w:rsidRPr="00523BF9">
              <w:t>E1464</w:t>
            </w:r>
          </w:p>
        </w:tc>
      </w:tr>
      <w:tr w:rsidR="00E81C80" w:rsidRPr="00D42C24" w14:paraId="249483F4" w14:textId="77777777" w:rsidTr="00FD11B2">
        <w:trPr>
          <w:trHeight w:val="327"/>
        </w:trPr>
        <w:tc>
          <w:tcPr>
            <w:tcW w:w="1668" w:type="dxa"/>
            <w:shd w:val="clear" w:color="auto" w:fill="auto"/>
          </w:tcPr>
          <w:p w14:paraId="46EE4EC7" w14:textId="77777777" w:rsidR="00E81C80" w:rsidRPr="00D42C24" w:rsidRDefault="00E81C80" w:rsidP="00E81C80">
            <w:pPr>
              <w:pStyle w:val="Header"/>
              <w:spacing w:before="60"/>
              <w:rPr>
                <w:rFonts w:cs="Arial"/>
                <w:szCs w:val="22"/>
              </w:rPr>
            </w:pPr>
            <w:r w:rsidRPr="00D42C24">
              <w:rPr>
                <w:rFonts w:cs="Arial"/>
                <w:szCs w:val="22"/>
              </w:rPr>
              <w:t>Denominator</w:t>
            </w:r>
          </w:p>
        </w:tc>
        <w:tc>
          <w:tcPr>
            <w:tcW w:w="7654" w:type="dxa"/>
            <w:shd w:val="clear" w:color="auto" w:fill="auto"/>
          </w:tcPr>
          <w:p w14:paraId="3F5114B7" w14:textId="29385841" w:rsidR="00E81C80" w:rsidRPr="00D42C24" w:rsidRDefault="00E81C80" w:rsidP="00E81C80">
            <w:pPr>
              <w:pStyle w:val="Header"/>
              <w:spacing w:before="60"/>
              <w:rPr>
                <w:rFonts w:cs="Arial"/>
                <w:color w:val="000000"/>
                <w:szCs w:val="22"/>
              </w:rPr>
            </w:pPr>
            <w:r w:rsidRPr="0026458D">
              <w:t xml:space="preserve">Count of distinct master NHIs identified as having diabetes on </w:t>
            </w:r>
            <w:r w:rsidR="00B41AAD">
              <w:t xml:space="preserve">the </w:t>
            </w:r>
            <w:r w:rsidRPr="0026458D">
              <w:t>VDR</w:t>
            </w:r>
          </w:p>
        </w:tc>
      </w:tr>
      <w:tr w:rsidR="00E81C80" w:rsidRPr="00D42C24" w14:paraId="5A635DF7" w14:textId="77777777" w:rsidTr="00FD11B2">
        <w:trPr>
          <w:trHeight w:val="327"/>
        </w:trPr>
        <w:tc>
          <w:tcPr>
            <w:tcW w:w="1668" w:type="dxa"/>
            <w:shd w:val="clear" w:color="auto" w:fill="auto"/>
          </w:tcPr>
          <w:p w14:paraId="7096E873" w14:textId="77777777" w:rsidR="00E81C80" w:rsidRPr="00D42C24" w:rsidRDefault="00E81C80" w:rsidP="00E81C80">
            <w:pPr>
              <w:pStyle w:val="Header"/>
              <w:spacing w:before="60"/>
              <w:rPr>
                <w:rFonts w:cs="Arial"/>
                <w:szCs w:val="22"/>
              </w:rPr>
            </w:pPr>
            <w:r>
              <w:rPr>
                <w:rFonts w:cs="Arial"/>
                <w:szCs w:val="22"/>
              </w:rPr>
              <w:t>Data source</w:t>
            </w:r>
          </w:p>
        </w:tc>
        <w:tc>
          <w:tcPr>
            <w:tcW w:w="7654" w:type="dxa"/>
            <w:shd w:val="clear" w:color="auto" w:fill="auto"/>
          </w:tcPr>
          <w:p w14:paraId="0B6D0FAD" w14:textId="77777777" w:rsidR="00203E60" w:rsidRDefault="00E81C80" w:rsidP="00203E60">
            <w:pPr>
              <w:spacing w:before="60"/>
            </w:pPr>
            <w:r>
              <w:t>NMDS</w:t>
            </w:r>
          </w:p>
          <w:p w14:paraId="6860888C" w14:textId="6FE6FC61" w:rsidR="00E81C80" w:rsidRPr="00D42C24" w:rsidRDefault="00E81C80" w:rsidP="00203E60">
            <w:pPr>
              <w:spacing w:before="60"/>
              <w:rPr>
                <w:rFonts w:cs="Arial"/>
                <w:color w:val="000000"/>
                <w:szCs w:val="22"/>
              </w:rPr>
            </w:pPr>
            <w:r>
              <w:t>VDR</w:t>
            </w:r>
          </w:p>
        </w:tc>
      </w:tr>
      <w:tr w:rsidR="00E81C80" w:rsidRPr="00D42C24" w14:paraId="29E6C31E" w14:textId="77777777" w:rsidTr="00FD11B2">
        <w:trPr>
          <w:trHeight w:val="327"/>
        </w:trPr>
        <w:tc>
          <w:tcPr>
            <w:tcW w:w="1668" w:type="dxa"/>
            <w:shd w:val="clear" w:color="auto" w:fill="auto"/>
          </w:tcPr>
          <w:p w14:paraId="784D7005" w14:textId="021F49CA" w:rsidR="00E81C80" w:rsidRDefault="00E81C80" w:rsidP="00E81C80">
            <w:pPr>
              <w:pStyle w:val="Header"/>
              <w:spacing w:before="60"/>
              <w:rPr>
                <w:rFonts w:cs="Arial"/>
                <w:szCs w:val="22"/>
              </w:rPr>
            </w:pPr>
            <w:r>
              <w:rPr>
                <w:rFonts w:cs="Arial"/>
                <w:szCs w:val="22"/>
              </w:rPr>
              <w:t>By variables</w:t>
            </w:r>
          </w:p>
        </w:tc>
        <w:tc>
          <w:tcPr>
            <w:tcW w:w="7654" w:type="dxa"/>
            <w:shd w:val="clear" w:color="auto" w:fill="auto"/>
            <w:vAlign w:val="bottom"/>
          </w:tcPr>
          <w:p w14:paraId="6759A604" w14:textId="565B0C2C" w:rsidR="00223369" w:rsidRDefault="00223369" w:rsidP="00223369">
            <w:pPr>
              <w:pStyle w:val="Header"/>
              <w:spacing w:before="60"/>
            </w:pPr>
            <w:r>
              <w:t>For single map analysis: By year (</w:t>
            </w:r>
            <w:r w:rsidR="00481942">
              <w:t>2018‒22</w:t>
            </w:r>
            <w:r>
              <w:t>), age group (</w:t>
            </w:r>
            <w:r w:rsidR="00481942">
              <w:t>0‒14</w:t>
            </w:r>
            <w:r>
              <w:t xml:space="preserve"> years, </w:t>
            </w:r>
            <w:r w:rsidR="00481942">
              <w:t>15‒24</w:t>
            </w:r>
            <w:r>
              <w:t xml:space="preserve"> years, </w:t>
            </w:r>
            <w:r w:rsidR="00481942">
              <w:t>25‒44</w:t>
            </w:r>
            <w:r>
              <w:t xml:space="preserve"> years, </w:t>
            </w:r>
            <w:r w:rsidR="00481942">
              <w:t>45‒64</w:t>
            </w:r>
            <w:r>
              <w:t xml:space="preserve"> years, </w:t>
            </w:r>
            <w:r w:rsidR="00481942">
              <w:t>65‒74</w:t>
            </w:r>
            <w:r>
              <w:t xml:space="preserve"> years and 75+ years), gender (female and male), ethnic group (Māori, Pacific peoples, Indian and </w:t>
            </w:r>
            <w:r w:rsidR="00481942">
              <w:t>European/other</w:t>
            </w:r>
            <w:r>
              <w:t>) and Health New Zealand district of domicile</w:t>
            </w:r>
            <w:r w:rsidR="006135B6">
              <w:t>.</w:t>
            </w:r>
            <w:r>
              <w:t xml:space="preserve"> </w:t>
            </w:r>
          </w:p>
          <w:p w14:paraId="4DCF6F1E" w14:textId="38EAD320" w:rsidR="00E81C80" w:rsidRDefault="00223369" w:rsidP="00514EA6">
            <w:pPr>
              <w:spacing w:before="60"/>
            </w:pPr>
            <w:r>
              <w:t>For PHO analysis: By year (2022), age group (</w:t>
            </w:r>
            <w:r w:rsidR="00481942">
              <w:t>0‒14</w:t>
            </w:r>
            <w:r>
              <w:t xml:space="preserve"> years, </w:t>
            </w:r>
            <w:r w:rsidR="00481942">
              <w:t>15‒24</w:t>
            </w:r>
            <w:r>
              <w:t xml:space="preserve"> years, </w:t>
            </w:r>
            <w:r w:rsidR="00481942">
              <w:t>25‒44</w:t>
            </w:r>
            <w:r>
              <w:t xml:space="preserve"> years, </w:t>
            </w:r>
            <w:r w:rsidR="00481942">
              <w:t>45‒64</w:t>
            </w:r>
            <w:r>
              <w:t xml:space="preserve"> years, </w:t>
            </w:r>
            <w:r w:rsidR="00481942">
              <w:t>65‒74</w:t>
            </w:r>
            <w:r>
              <w:t xml:space="preserve"> years and 75+ years), gender (female and male), ethnic group (Māori, Pacific peoples, Indian and </w:t>
            </w:r>
            <w:r w:rsidR="00481942">
              <w:t>European/other</w:t>
            </w:r>
            <w:r>
              <w:t xml:space="preserve">), PHO most recently enrolled with (for the relevant year), PHO group (small, medium, </w:t>
            </w:r>
            <w:r w:rsidR="007E5C3B">
              <w:t>medium‒large</w:t>
            </w:r>
            <w:r>
              <w:t xml:space="preserve"> and large).</w:t>
            </w:r>
          </w:p>
        </w:tc>
      </w:tr>
      <w:tr w:rsidR="00E81C80" w:rsidRPr="00D42C24" w14:paraId="7959B32D" w14:textId="77777777" w:rsidTr="00FD11B2">
        <w:trPr>
          <w:trHeight w:val="327"/>
        </w:trPr>
        <w:tc>
          <w:tcPr>
            <w:tcW w:w="1668" w:type="dxa"/>
            <w:shd w:val="clear" w:color="auto" w:fill="auto"/>
          </w:tcPr>
          <w:p w14:paraId="5700D5A9" w14:textId="5CB4DE03" w:rsidR="00E81C80" w:rsidRDefault="00E81C80" w:rsidP="00E81C80">
            <w:pPr>
              <w:pStyle w:val="Header"/>
              <w:spacing w:before="60"/>
              <w:rPr>
                <w:rFonts w:cs="Arial"/>
                <w:szCs w:val="22"/>
              </w:rPr>
            </w:pPr>
            <w:r>
              <w:rPr>
                <w:rFonts w:cs="Arial"/>
                <w:szCs w:val="22"/>
              </w:rPr>
              <w:t>Rationale</w:t>
            </w:r>
          </w:p>
        </w:tc>
        <w:tc>
          <w:tcPr>
            <w:tcW w:w="7654" w:type="dxa"/>
            <w:shd w:val="clear" w:color="auto" w:fill="auto"/>
          </w:tcPr>
          <w:p w14:paraId="5611864A" w14:textId="23B23C22" w:rsidR="00E81C80" w:rsidRDefault="00FA25D3" w:rsidP="00E81C80">
            <w:pPr>
              <w:spacing w:before="60"/>
            </w:pPr>
            <w:r>
              <w:t>U</w:t>
            </w:r>
            <w:r w:rsidRPr="00FA25D3">
              <w:t xml:space="preserve">nderstanding the factors contributing to variations in </w:t>
            </w:r>
            <w:r w:rsidR="00B517D1" w:rsidRPr="00FA25D3">
              <w:t>hypoglycaemia</w:t>
            </w:r>
            <w:r w:rsidRPr="00FA25D3">
              <w:t xml:space="preserve"> prevalence is essential for tailoring diabetes care, promoting patient </w:t>
            </w:r>
            <w:r w:rsidRPr="00FA25D3">
              <w:lastRenderedPageBreak/>
              <w:t>education, and implementing proactive measures to prevent this potentially life-threatening condition.</w:t>
            </w:r>
          </w:p>
        </w:tc>
      </w:tr>
      <w:tr w:rsidR="00E81C80" w:rsidRPr="00D42C24" w14:paraId="1812B29E" w14:textId="77777777" w:rsidTr="00FD11B2">
        <w:trPr>
          <w:trHeight w:val="327"/>
        </w:trPr>
        <w:tc>
          <w:tcPr>
            <w:tcW w:w="1668" w:type="dxa"/>
            <w:shd w:val="clear" w:color="auto" w:fill="auto"/>
          </w:tcPr>
          <w:p w14:paraId="3118B748" w14:textId="0D53D11A" w:rsidR="00E81C80" w:rsidRPr="00D42C24" w:rsidRDefault="00E81C80" w:rsidP="00E81C80">
            <w:pPr>
              <w:pStyle w:val="Header"/>
              <w:spacing w:before="60"/>
              <w:rPr>
                <w:rFonts w:cs="Arial"/>
                <w:szCs w:val="22"/>
              </w:rPr>
            </w:pPr>
            <w:r w:rsidRPr="00D42C24">
              <w:rPr>
                <w:rFonts w:cs="Arial"/>
                <w:szCs w:val="22"/>
              </w:rPr>
              <w:lastRenderedPageBreak/>
              <w:t>Comment</w:t>
            </w:r>
            <w:r w:rsidR="002A716B">
              <w:rPr>
                <w:rFonts w:cs="Arial"/>
                <w:szCs w:val="22"/>
              </w:rPr>
              <w:t>ary</w:t>
            </w:r>
          </w:p>
        </w:tc>
        <w:tc>
          <w:tcPr>
            <w:tcW w:w="7654" w:type="dxa"/>
            <w:shd w:val="clear" w:color="auto" w:fill="auto"/>
          </w:tcPr>
          <w:p w14:paraId="6A6F49D8" w14:textId="77777777" w:rsidR="00514EA6" w:rsidRPr="00952CF1" w:rsidRDefault="00514EA6" w:rsidP="0038702B">
            <w:pPr>
              <w:pStyle w:val="Header"/>
              <w:spacing w:before="60"/>
            </w:pPr>
            <w:bookmarkStart w:id="3" w:name="_Hlk156899912"/>
            <w:r w:rsidRPr="00952CF1">
              <w:t>Description:</w:t>
            </w:r>
          </w:p>
          <w:p w14:paraId="4A70C5B3" w14:textId="152C2096" w:rsidR="00514EA6" w:rsidRPr="00952CF1" w:rsidRDefault="00514EA6" w:rsidP="0038702B">
            <w:pPr>
              <w:pStyle w:val="Header"/>
              <w:spacing w:before="60"/>
            </w:pPr>
            <w:r w:rsidRPr="00952CF1">
              <w:t>This indicator shows the number and percent of people with diabetes</w:t>
            </w:r>
            <w:r w:rsidR="004527E0">
              <w:t xml:space="preserve"> who are</w:t>
            </w:r>
            <w:r w:rsidRPr="00952CF1">
              <w:t xml:space="preserve"> admitted to hospital with hypoglycaemia as the primary diagnosis one or more times in the relevant year.</w:t>
            </w:r>
          </w:p>
          <w:p w14:paraId="635D42E2" w14:textId="77777777" w:rsidR="00514EA6" w:rsidRPr="00952CF1" w:rsidRDefault="00514EA6" w:rsidP="0038702B">
            <w:pPr>
              <w:pStyle w:val="Header"/>
              <w:spacing w:before="240"/>
            </w:pPr>
            <w:r w:rsidRPr="00952CF1">
              <w:t>Note:</w:t>
            </w:r>
          </w:p>
          <w:p w14:paraId="0BDBD6A9" w14:textId="77777777" w:rsidR="00514EA6" w:rsidRPr="00952CF1" w:rsidRDefault="00514EA6" w:rsidP="0038702B">
            <w:pPr>
              <w:pStyle w:val="Header"/>
              <w:spacing w:before="60"/>
            </w:pPr>
            <w:r w:rsidRPr="00952CF1">
              <w:t>This indicator does not include people who were treated in the emergency department. While the decision to admit depends on the severity and cause, different hospitals may have different admission policies, which may lead to variation in rates. It is recommended that Health New Zealand districts analyse their ED attendances.</w:t>
            </w:r>
          </w:p>
          <w:p w14:paraId="0BC6BCDB" w14:textId="77777777" w:rsidR="00514EA6" w:rsidRPr="00952CF1" w:rsidRDefault="00514EA6" w:rsidP="0038702B">
            <w:pPr>
              <w:pStyle w:val="Header"/>
              <w:spacing w:before="240"/>
            </w:pPr>
            <w:r w:rsidRPr="00952CF1">
              <w:t xml:space="preserve">Why is this important? </w:t>
            </w:r>
          </w:p>
          <w:p w14:paraId="6247DE85" w14:textId="77777777" w:rsidR="00514EA6" w:rsidRPr="00952CF1" w:rsidRDefault="00514EA6" w:rsidP="0038702B">
            <w:pPr>
              <w:pStyle w:val="Header"/>
              <w:spacing w:before="60"/>
            </w:pPr>
            <w:r w:rsidRPr="00952CF1">
              <w:t>Hypoglycaemia (low blood sugar) occurs in people with diabetes as a complication of treatment with insulin or oral medication. Hypoglycaemia should be a rare event, with a single occurrence being a marker of care quality.</w:t>
            </w:r>
          </w:p>
          <w:p w14:paraId="7A3080A9" w14:textId="77777777" w:rsidR="00514EA6" w:rsidRPr="00952CF1" w:rsidRDefault="00514EA6" w:rsidP="0038702B">
            <w:pPr>
              <w:pStyle w:val="Header"/>
              <w:spacing w:before="240"/>
            </w:pPr>
            <w:r w:rsidRPr="00952CF1">
              <w:t>What questions does this prompt?</w:t>
            </w:r>
          </w:p>
          <w:p w14:paraId="31C4C643" w14:textId="77777777" w:rsidR="00514EA6" w:rsidRPr="00952CF1" w:rsidRDefault="00514EA6" w:rsidP="00952CF1">
            <w:pPr>
              <w:pStyle w:val="Header"/>
              <w:numPr>
                <w:ilvl w:val="0"/>
                <w:numId w:val="10"/>
              </w:numPr>
              <w:spacing w:before="60"/>
              <w:ind w:left="360"/>
            </w:pPr>
            <w:r w:rsidRPr="00952CF1">
              <w:t>Where admission rates are consistently low, what might this be due to?</w:t>
            </w:r>
          </w:p>
          <w:p w14:paraId="64F6BD59" w14:textId="77777777" w:rsidR="00514EA6" w:rsidRPr="00952CF1" w:rsidRDefault="00514EA6" w:rsidP="00952CF1">
            <w:pPr>
              <w:pStyle w:val="Header"/>
              <w:numPr>
                <w:ilvl w:val="0"/>
                <w:numId w:val="10"/>
              </w:numPr>
              <w:spacing w:before="60"/>
              <w:ind w:left="360"/>
            </w:pPr>
            <w:r w:rsidRPr="00952CF1">
              <w:t>Where admission rates are consistently high, what might this be due to?</w:t>
            </w:r>
          </w:p>
          <w:p w14:paraId="68CAE455" w14:textId="77777777" w:rsidR="00514EA6" w:rsidRPr="00952CF1" w:rsidRDefault="00514EA6" w:rsidP="00952CF1">
            <w:pPr>
              <w:pStyle w:val="Header"/>
              <w:numPr>
                <w:ilvl w:val="0"/>
                <w:numId w:val="10"/>
              </w:numPr>
              <w:spacing w:before="60"/>
              <w:ind w:left="360"/>
            </w:pPr>
            <w:r w:rsidRPr="00952CF1">
              <w:t>Are psychosocial services available in the Health New Zealand district, particularly for young people?</w:t>
            </w:r>
          </w:p>
          <w:p w14:paraId="37F39E75" w14:textId="4AA68B63" w:rsidR="00E81C80" w:rsidRPr="00952CF1" w:rsidRDefault="00514EA6" w:rsidP="00952CF1">
            <w:pPr>
              <w:pStyle w:val="Header"/>
              <w:numPr>
                <w:ilvl w:val="0"/>
                <w:numId w:val="10"/>
              </w:numPr>
              <w:spacing w:before="60" w:after="120"/>
              <w:ind w:left="360"/>
            </w:pPr>
            <w:r w:rsidRPr="00952CF1">
              <w:t>In each Health New Zealand district, how many patients present to ED with hypoglycaemia as a primary diagnosis?</w:t>
            </w:r>
            <w:bookmarkEnd w:id="3"/>
          </w:p>
        </w:tc>
      </w:tr>
    </w:tbl>
    <w:p w14:paraId="205B0F26" w14:textId="77777777" w:rsidR="0000087A" w:rsidRPr="00D42C24" w:rsidRDefault="0000087A" w:rsidP="0000087A">
      <w:pPr>
        <w:rPr>
          <w:rFonts w:cs="Arial"/>
          <w:szCs w:val="22"/>
        </w:rPr>
      </w:pPr>
    </w:p>
    <w:tbl>
      <w:tblPr>
        <w:tblW w:w="932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A0" w:firstRow="1" w:lastRow="0" w:firstColumn="1" w:lastColumn="0" w:noHBand="0" w:noVBand="0"/>
      </w:tblPr>
      <w:tblGrid>
        <w:gridCol w:w="1696"/>
        <w:gridCol w:w="7626"/>
      </w:tblGrid>
      <w:tr w:rsidR="00564994" w:rsidRPr="00D42C24" w14:paraId="71D843AE" w14:textId="77777777" w:rsidTr="00FD11B2">
        <w:trPr>
          <w:trHeight w:val="327"/>
        </w:trPr>
        <w:tc>
          <w:tcPr>
            <w:tcW w:w="1696" w:type="dxa"/>
            <w:shd w:val="clear" w:color="auto" w:fill="auto"/>
          </w:tcPr>
          <w:p w14:paraId="7F250A83" w14:textId="7227BAD1" w:rsidR="00564994" w:rsidRPr="00D42C24" w:rsidRDefault="00564994" w:rsidP="00564994">
            <w:pPr>
              <w:pStyle w:val="Header"/>
              <w:spacing w:before="60"/>
              <w:rPr>
                <w:rFonts w:cs="Arial"/>
                <w:b/>
                <w:color w:val="808080"/>
                <w:szCs w:val="22"/>
              </w:rPr>
            </w:pPr>
            <w:r>
              <w:rPr>
                <w:rFonts w:cs="Arial"/>
                <w:szCs w:val="22"/>
              </w:rPr>
              <w:br w:type="page"/>
            </w:r>
            <w:r w:rsidRPr="00D42C24">
              <w:rPr>
                <w:rFonts w:cs="Arial"/>
                <w:b/>
                <w:szCs w:val="22"/>
              </w:rPr>
              <w:t>Indicator #</w:t>
            </w:r>
            <w:r w:rsidR="00B060BD">
              <w:rPr>
                <w:rFonts w:cs="Arial"/>
                <w:b/>
                <w:szCs w:val="22"/>
              </w:rPr>
              <w:t>12</w:t>
            </w:r>
            <w:r w:rsidRPr="00D42C24">
              <w:rPr>
                <w:rFonts w:cs="Arial"/>
                <w:b/>
                <w:szCs w:val="22"/>
              </w:rPr>
              <w:t>:</w:t>
            </w:r>
          </w:p>
        </w:tc>
        <w:tc>
          <w:tcPr>
            <w:tcW w:w="7626" w:type="dxa"/>
            <w:shd w:val="clear" w:color="auto" w:fill="auto"/>
          </w:tcPr>
          <w:p w14:paraId="4B114D88" w14:textId="18DBD3CF" w:rsidR="00564994" w:rsidRPr="00D42C24" w:rsidRDefault="00564994" w:rsidP="00564994">
            <w:pPr>
              <w:pStyle w:val="Header"/>
              <w:spacing w:before="60"/>
              <w:rPr>
                <w:rFonts w:cs="Arial"/>
                <w:b/>
                <w:color w:val="000000"/>
                <w:szCs w:val="22"/>
              </w:rPr>
            </w:pPr>
            <w:r w:rsidRPr="005C660C">
              <w:t>People with diabetes having</w:t>
            </w:r>
            <w:r w:rsidR="00F64B6A">
              <w:t xml:space="preserve"> a</w:t>
            </w:r>
            <w:r w:rsidRPr="005C660C">
              <w:t xml:space="preserve"> lower</w:t>
            </w:r>
            <w:r w:rsidR="00F64B6A">
              <w:t>-</w:t>
            </w:r>
            <w:r w:rsidRPr="005C660C">
              <w:t>limb amputation</w:t>
            </w:r>
          </w:p>
        </w:tc>
      </w:tr>
      <w:tr w:rsidR="00564994" w:rsidRPr="00D42C24" w14:paraId="238D029A" w14:textId="77777777" w:rsidTr="00FD11B2">
        <w:trPr>
          <w:trHeight w:val="327"/>
        </w:trPr>
        <w:tc>
          <w:tcPr>
            <w:tcW w:w="1696" w:type="dxa"/>
            <w:shd w:val="clear" w:color="auto" w:fill="auto"/>
          </w:tcPr>
          <w:p w14:paraId="10A94BEC" w14:textId="77777777" w:rsidR="00564994" w:rsidRPr="00D42C24" w:rsidRDefault="00564994" w:rsidP="00564994">
            <w:pPr>
              <w:pStyle w:val="Header"/>
              <w:spacing w:before="60"/>
              <w:rPr>
                <w:rFonts w:cs="Arial"/>
                <w:szCs w:val="22"/>
              </w:rPr>
            </w:pPr>
            <w:r w:rsidRPr="00D42C24">
              <w:rPr>
                <w:rFonts w:cs="Arial"/>
                <w:szCs w:val="22"/>
              </w:rPr>
              <w:t>Numerator</w:t>
            </w:r>
          </w:p>
        </w:tc>
        <w:tc>
          <w:tcPr>
            <w:tcW w:w="7626" w:type="dxa"/>
            <w:shd w:val="clear" w:color="auto" w:fill="auto"/>
          </w:tcPr>
          <w:p w14:paraId="70325EDE" w14:textId="77777777" w:rsidR="00564994" w:rsidRDefault="00564994" w:rsidP="00564994">
            <w:pPr>
              <w:pStyle w:val="Header"/>
              <w:spacing w:before="60"/>
            </w:pPr>
            <w:r w:rsidRPr="005C660C">
              <w:t xml:space="preserve">People with diabetes recorded as having a </w:t>
            </w:r>
            <w:proofErr w:type="gramStart"/>
            <w:r w:rsidRPr="005C660C">
              <w:t>lower</w:t>
            </w:r>
            <w:r w:rsidR="00F64B6A">
              <w:t>-</w:t>
            </w:r>
            <w:r w:rsidRPr="005C660C">
              <w:t>limb</w:t>
            </w:r>
            <w:proofErr w:type="gramEnd"/>
            <w:r w:rsidRPr="005C660C">
              <w:t xml:space="preserve"> amputation</w:t>
            </w:r>
          </w:p>
          <w:p w14:paraId="49D24AD1" w14:textId="5D2B44F2" w:rsidR="00C5148A" w:rsidRPr="00D42C24" w:rsidRDefault="00514EA6" w:rsidP="00564994">
            <w:pPr>
              <w:pStyle w:val="Header"/>
              <w:spacing w:before="60"/>
              <w:rPr>
                <w:rFonts w:cs="Arial"/>
                <w:szCs w:val="22"/>
              </w:rPr>
            </w:pPr>
            <w:r>
              <w:t>Procedure (</w:t>
            </w:r>
            <w:r w:rsidR="00C5148A">
              <w:t>ICD10</w:t>
            </w:r>
            <w:r>
              <w:t>)</w:t>
            </w:r>
            <w:r w:rsidR="00C5148A">
              <w:t xml:space="preserve"> Codes: </w:t>
            </w:r>
            <w:r w:rsidR="00C5148A" w:rsidRPr="0012068B">
              <w:t>4433800, 4435800, 9055700, 4436100, 4436400, 4436401, 4436101, 4</w:t>
            </w:r>
            <w:r w:rsidR="00C5148A">
              <w:t>437000,</w:t>
            </w:r>
            <w:r w:rsidR="00C5148A" w:rsidRPr="0012068B">
              <w:t xml:space="preserve"> 4437300, 4436700, 4436701, 4436702.</w:t>
            </w:r>
            <w:r w:rsidR="00680F10">
              <w:t xml:space="preserve"> </w:t>
            </w:r>
          </w:p>
        </w:tc>
      </w:tr>
      <w:tr w:rsidR="001B7A2B" w:rsidRPr="00D42C24" w14:paraId="57D0F237" w14:textId="77777777" w:rsidTr="00FD11B2">
        <w:trPr>
          <w:trHeight w:val="327"/>
        </w:trPr>
        <w:tc>
          <w:tcPr>
            <w:tcW w:w="1696" w:type="dxa"/>
            <w:shd w:val="clear" w:color="auto" w:fill="auto"/>
          </w:tcPr>
          <w:p w14:paraId="73A99D24" w14:textId="52A77DF9" w:rsidR="001B7A2B" w:rsidRPr="00D42C24" w:rsidRDefault="001B7A2B" w:rsidP="001B7A2B">
            <w:pPr>
              <w:pStyle w:val="Header"/>
              <w:spacing w:before="60"/>
              <w:rPr>
                <w:rFonts w:cs="Arial"/>
                <w:szCs w:val="22"/>
              </w:rPr>
            </w:pPr>
            <w:r w:rsidRPr="00D42C24">
              <w:rPr>
                <w:rFonts w:cs="Arial"/>
                <w:szCs w:val="22"/>
              </w:rPr>
              <w:t>Denominator</w:t>
            </w:r>
          </w:p>
        </w:tc>
        <w:tc>
          <w:tcPr>
            <w:tcW w:w="7626" w:type="dxa"/>
            <w:shd w:val="clear" w:color="auto" w:fill="auto"/>
          </w:tcPr>
          <w:p w14:paraId="4CFE6E0E" w14:textId="468DF586" w:rsidR="001B7A2B" w:rsidRPr="00D42C24" w:rsidRDefault="001B7A2B" w:rsidP="001B7A2B">
            <w:pPr>
              <w:pStyle w:val="Header"/>
              <w:spacing w:before="60"/>
              <w:rPr>
                <w:rFonts w:cs="Arial"/>
                <w:szCs w:val="22"/>
              </w:rPr>
            </w:pPr>
            <w:r w:rsidRPr="0026458D">
              <w:t>Count of distinct master NHIs identified as having diabetes on</w:t>
            </w:r>
            <w:r w:rsidR="00B41AAD">
              <w:t xml:space="preserve"> the</w:t>
            </w:r>
            <w:r w:rsidRPr="0026458D">
              <w:t xml:space="preserve"> VDR</w:t>
            </w:r>
          </w:p>
        </w:tc>
      </w:tr>
      <w:tr w:rsidR="001B7A2B" w:rsidRPr="00D42C24" w14:paraId="7388C95F" w14:textId="77777777" w:rsidTr="00FD11B2">
        <w:trPr>
          <w:trHeight w:val="327"/>
        </w:trPr>
        <w:tc>
          <w:tcPr>
            <w:tcW w:w="1696" w:type="dxa"/>
            <w:shd w:val="clear" w:color="auto" w:fill="auto"/>
          </w:tcPr>
          <w:p w14:paraId="05E90DBD" w14:textId="468BE110" w:rsidR="001B7A2B" w:rsidRPr="00D42C24" w:rsidRDefault="001B7A2B" w:rsidP="001B7A2B">
            <w:pPr>
              <w:pStyle w:val="Header"/>
              <w:spacing w:before="60"/>
              <w:rPr>
                <w:rFonts w:cs="Arial"/>
                <w:szCs w:val="22"/>
              </w:rPr>
            </w:pPr>
            <w:r>
              <w:rPr>
                <w:rFonts w:cs="Arial"/>
                <w:szCs w:val="22"/>
              </w:rPr>
              <w:t>Data source</w:t>
            </w:r>
          </w:p>
        </w:tc>
        <w:tc>
          <w:tcPr>
            <w:tcW w:w="7626" w:type="dxa"/>
            <w:shd w:val="clear" w:color="auto" w:fill="auto"/>
          </w:tcPr>
          <w:p w14:paraId="384E431F" w14:textId="71FF0BD4" w:rsidR="001B7A2B" w:rsidRDefault="001B7A2B" w:rsidP="001B7A2B">
            <w:pPr>
              <w:spacing w:before="60"/>
            </w:pPr>
            <w:r>
              <w:t>NMDS</w:t>
            </w:r>
          </w:p>
          <w:p w14:paraId="58C0B266" w14:textId="1B927E3E" w:rsidR="00D35D2C" w:rsidRPr="00514EA6" w:rsidRDefault="001B7A2B" w:rsidP="001B7A2B">
            <w:pPr>
              <w:spacing w:before="60"/>
            </w:pPr>
            <w:r>
              <w:t>VDR</w:t>
            </w:r>
          </w:p>
        </w:tc>
      </w:tr>
      <w:tr w:rsidR="004B0E26" w:rsidRPr="00D42C24" w14:paraId="6AA0368C" w14:textId="77777777" w:rsidTr="00FD11B2">
        <w:trPr>
          <w:trHeight w:val="327"/>
        </w:trPr>
        <w:tc>
          <w:tcPr>
            <w:tcW w:w="1696" w:type="dxa"/>
            <w:shd w:val="clear" w:color="auto" w:fill="auto"/>
          </w:tcPr>
          <w:p w14:paraId="0350BCCE" w14:textId="7D31286B" w:rsidR="004B0E26" w:rsidRDefault="004B0E26" w:rsidP="004B0E26">
            <w:pPr>
              <w:pStyle w:val="Header"/>
              <w:spacing w:before="60"/>
              <w:rPr>
                <w:rFonts w:cs="Arial"/>
                <w:szCs w:val="22"/>
              </w:rPr>
            </w:pPr>
            <w:r>
              <w:rPr>
                <w:rFonts w:cs="Arial"/>
                <w:szCs w:val="22"/>
              </w:rPr>
              <w:t>By variables</w:t>
            </w:r>
          </w:p>
        </w:tc>
        <w:tc>
          <w:tcPr>
            <w:tcW w:w="7626" w:type="dxa"/>
            <w:shd w:val="clear" w:color="auto" w:fill="auto"/>
            <w:vAlign w:val="bottom"/>
          </w:tcPr>
          <w:p w14:paraId="6795BF8E" w14:textId="3F0312C4" w:rsidR="00223369" w:rsidRDefault="00223369" w:rsidP="00223369">
            <w:pPr>
              <w:pStyle w:val="Header"/>
              <w:spacing w:before="60"/>
            </w:pPr>
            <w:r>
              <w:t>For single map analysis: By year (</w:t>
            </w:r>
            <w:r w:rsidR="00481942">
              <w:t>2018‒22</w:t>
            </w:r>
            <w:r>
              <w:t>), age group (</w:t>
            </w:r>
            <w:r w:rsidR="00481942">
              <w:t>0‒14</w:t>
            </w:r>
            <w:r>
              <w:t xml:space="preserve"> years, </w:t>
            </w:r>
            <w:r w:rsidR="00481942">
              <w:t>15‒24</w:t>
            </w:r>
            <w:r>
              <w:t xml:space="preserve"> years, </w:t>
            </w:r>
            <w:r w:rsidR="00481942">
              <w:t>25‒44</w:t>
            </w:r>
            <w:r>
              <w:t xml:space="preserve"> years, </w:t>
            </w:r>
            <w:r w:rsidR="00481942">
              <w:t>45‒64</w:t>
            </w:r>
            <w:r>
              <w:t xml:space="preserve"> years, </w:t>
            </w:r>
            <w:r w:rsidR="00481942">
              <w:t>65‒74</w:t>
            </w:r>
            <w:r>
              <w:t xml:space="preserve"> years and 75+ years), gender (female and male), ethnic group (Māori, Pacific peoples, Indian and </w:t>
            </w:r>
            <w:r w:rsidR="00481942">
              <w:t>European/other</w:t>
            </w:r>
            <w:r>
              <w:t>) and Health New Zealand district of domicile</w:t>
            </w:r>
            <w:r w:rsidR="00E67FC8">
              <w:t>.</w:t>
            </w:r>
            <w:r>
              <w:t xml:space="preserve"> </w:t>
            </w:r>
          </w:p>
          <w:p w14:paraId="4B67DD43" w14:textId="74C0DC40" w:rsidR="004B0E26" w:rsidRDefault="00223369" w:rsidP="00514EA6">
            <w:pPr>
              <w:spacing w:before="60"/>
            </w:pPr>
            <w:r>
              <w:t>For PHO analysis: By year (2022), age group (</w:t>
            </w:r>
            <w:r w:rsidR="00481942">
              <w:t>0‒14</w:t>
            </w:r>
            <w:r>
              <w:t xml:space="preserve"> years, </w:t>
            </w:r>
            <w:r w:rsidR="00481942">
              <w:t>15‒24</w:t>
            </w:r>
            <w:r>
              <w:t xml:space="preserve"> years, </w:t>
            </w:r>
            <w:r w:rsidR="00481942">
              <w:t>25‒44</w:t>
            </w:r>
            <w:r>
              <w:t xml:space="preserve"> years, </w:t>
            </w:r>
            <w:r w:rsidR="00481942">
              <w:t>45‒64</w:t>
            </w:r>
            <w:r>
              <w:t xml:space="preserve"> years, </w:t>
            </w:r>
            <w:r w:rsidR="00481942">
              <w:t>65‒74</w:t>
            </w:r>
            <w:r>
              <w:t xml:space="preserve"> years and 75+ years), gender (female and male), ethnic group (Māori, Pacific peoples, Indian and </w:t>
            </w:r>
            <w:r w:rsidR="00481942">
              <w:t>European/other</w:t>
            </w:r>
            <w:r>
              <w:t xml:space="preserve">), PHO most recently enrolled with (for the relevant year), PHO group (small, medium, </w:t>
            </w:r>
            <w:r w:rsidR="007E5C3B">
              <w:t>medium‒large</w:t>
            </w:r>
            <w:r>
              <w:t xml:space="preserve"> and large).</w:t>
            </w:r>
          </w:p>
        </w:tc>
      </w:tr>
      <w:tr w:rsidR="004B0E26" w:rsidRPr="00D42C24" w14:paraId="3B78D845" w14:textId="77777777" w:rsidTr="00FD11B2">
        <w:trPr>
          <w:trHeight w:val="327"/>
        </w:trPr>
        <w:tc>
          <w:tcPr>
            <w:tcW w:w="1696" w:type="dxa"/>
            <w:shd w:val="clear" w:color="auto" w:fill="auto"/>
          </w:tcPr>
          <w:p w14:paraId="794ECE38" w14:textId="53BE6DAF" w:rsidR="004B0E26" w:rsidRDefault="00F427BC" w:rsidP="004B0E26">
            <w:pPr>
              <w:pStyle w:val="Header"/>
              <w:spacing w:before="60"/>
              <w:rPr>
                <w:rFonts w:cs="Arial"/>
                <w:szCs w:val="22"/>
              </w:rPr>
            </w:pPr>
            <w:r>
              <w:rPr>
                <w:rFonts w:cs="Arial"/>
                <w:szCs w:val="22"/>
              </w:rPr>
              <w:lastRenderedPageBreak/>
              <w:t>Rationale</w:t>
            </w:r>
          </w:p>
        </w:tc>
        <w:tc>
          <w:tcPr>
            <w:tcW w:w="7626" w:type="dxa"/>
            <w:shd w:val="clear" w:color="auto" w:fill="auto"/>
            <w:vAlign w:val="bottom"/>
          </w:tcPr>
          <w:p w14:paraId="5F4A2BA2" w14:textId="7E22D00F" w:rsidR="004B0E26" w:rsidRDefault="000D2F1C" w:rsidP="004B0E26">
            <w:pPr>
              <w:pStyle w:val="Header"/>
              <w:spacing w:before="60"/>
            </w:pPr>
            <w:r w:rsidRPr="000D2F1C">
              <w:t xml:space="preserve">Monitoring variations in amputation rates serves as an indicator of the quality and effectiveness of </w:t>
            </w:r>
            <w:r w:rsidR="003771E4">
              <w:t>health care</w:t>
            </w:r>
            <w:r w:rsidRPr="000D2F1C">
              <w:t xml:space="preserve"> services, especially </w:t>
            </w:r>
            <w:r>
              <w:t>diabetes management.</w:t>
            </w:r>
            <w:r w:rsidR="00902211">
              <w:t xml:space="preserve"> </w:t>
            </w:r>
            <w:r w:rsidR="00902211" w:rsidRPr="00902211">
              <w:t>Many lower</w:t>
            </w:r>
            <w:r w:rsidR="00693235">
              <w:t>-</w:t>
            </w:r>
            <w:r w:rsidR="00902211" w:rsidRPr="00902211">
              <w:t>limb amputations are preventable through early detection, proper management of diabetes, and timely interventions for foot ulcers and vascular issues. Understanding variations can help identify areas where preventive measures and interventions need to be strengthened.</w:t>
            </w:r>
          </w:p>
        </w:tc>
      </w:tr>
      <w:tr w:rsidR="00B060BD" w:rsidRPr="00D42C24" w14:paraId="2560106A" w14:textId="77777777" w:rsidTr="00FD11B2">
        <w:trPr>
          <w:trHeight w:val="327"/>
        </w:trPr>
        <w:tc>
          <w:tcPr>
            <w:tcW w:w="1696" w:type="dxa"/>
            <w:shd w:val="clear" w:color="auto" w:fill="auto"/>
          </w:tcPr>
          <w:p w14:paraId="0C6410A9" w14:textId="568F4903" w:rsidR="00B060BD" w:rsidRDefault="00B060BD" w:rsidP="004B0E26">
            <w:pPr>
              <w:pStyle w:val="Header"/>
              <w:spacing w:before="60"/>
              <w:rPr>
                <w:rFonts w:cs="Arial"/>
                <w:szCs w:val="22"/>
              </w:rPr>
            </w:pPr>
            <w:r>
              <w:rPr>
                <w:rFonts w:cs="Arial"/>
                <w:szCs w:val="22"/>
              </w:rPr>
              <w:t>Exclusions</w:t>
            </w:r>
          </w:p>
        </w:tc>
        <w:tc>
          <w:tcPr>
            <w:tcW w:w="7626" w:type="dxa"/>
            <w:shd w:val="clear" w:color="auto" w:fill="auto"/>
            <w:vAlign w:val="bottom"/>
          </w:tcPr>
          <w:p w14:paraId="2E864393" w14:textId="77777777" w:rsidR="00B060BD" w:rsidRPr="007E51A4" w:rsidRDefault="00B060BD" w:rsidP="00B060BD">
            <w:pPr>
              <w:pStyle w:val="EndnoteText"/>
              <w:spacing w:before="60"/>
              <w:rPr>
                <w:iCs/>
              </w:rPr>
            </w:pPr>
            <w:r w:rsidRPr="007E51A4">
              <w:rPr>
                <w:sz w:val="22"/>
              </w:rPr>
              <w:t>Trauma</w:t>
            </w:r>
          </w:p>
          <w:tbl>
            <w:tblPr>
              <w:tblW w:w="7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5783"/>
            </w:tblGrid>
            <w:tr w:rsidR="00B060BD" w14:paraId="652C7944" w14:textId="77777777" w:rsidTr="00AB35E0">
              <w:trPr>
                <w:trHeight w:val="204"/>
              </w:trPr>
              <w:tc>
                <w:tcPr>
                  <w:tcW w:w="15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FDB2C1A" w14:textId="77777777" w:rsidR="00B060BD" w:rsidRPr="007E51A4" w:rsidRDefault="00B060BD" w:rsidP="00B060BD">
                  <w:pPr>
                    <w:pStyle w:val="EndnoteText"/>
                    <w:spacing w:before="40" w:after="40"/>
                    <w:rPr>
                      <w:b/>
                      <w:bCs/>
                    </w:rPr>
                  </w:pPr>
                  <w:r w:rsidRPr="007E51A4">
                    <w:rPr>
                      <w:b/>
                      <w:bCs/>
                    </w:rPr>
                    <w:t>Clinical code</w:t>
                  </w:r>
                </w:p>
              </w:tc>
              <w:tc>
                <w:tcPr>
                  <w:tcW w:w="57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637C925" w14:textId="77777777" w:rsidR="00B060BD" w:rsidRPr="007E51A4" w:rsidRDefault="00B060BD" w:rsidP="00B060BD">
                  <w:pPr>
                    <w:pStyle w:val="EndnoteText"/>
                    <w:spacing w:before="40" w:after="40"/>
                    <w:rPr>
                      <w:b/>
                      <w:bCs/>
                    </w:rPr>
                  </w:pPr>
                  <w:r w:rsidRPr="007E51A4">
                    <w:rPr>
                      <w:b/>
                      <w:bCs/>
                    </w:rPr>
                    <w:t>Clinical code description</w:t>
                  </w:r>
                </w:p>
              </w:tc>
            </w:tr>
            <w:tr w:rsidR="00B060BD" w14:paraId="100A37A3" w14:textId="77777777" w:rsidTr="00AB35E0">
              <w:trPr>
                <w:trHeight w:val="204"/>
              </w:trPr>
              <w:tc>
                <w:tcPr>
                  <w:tcW w:w="15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63503F6" w14:textId="77777777" w:rsidR="00B060BD" w:rsidRPr="007E51A4" w:rsidRDefault="00B060BD" w:rsidP="00B060BD">
                  <w:pPr>
                    <w:pStyle w:val="EndnoteText"/>
                    <w:spacing w:before="40" w:after="40"/>
                  </w:pPr>
                  <w:r w:rsidRPr="007E51A4">
                    <w:t>S78</w:t>
                  </w:r>
                </w:p>
              </w:tc>
              <w:tc>
                <w:tcPr>
                  <w:tcW w:w="57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AE5E189" w14:textId="77777777" w:rsidR="00B060BD" w:rsidRPr="007E51A4" w:rsidRDefault="00B060BD" w:rsidP="00B060BD">
                  <w:pPr>
                    <w:pStyle w:val="EndnoteText"/>
                    <w:spacing w:before="40" w:after="40"/>
                  </w:pPr>
                  <w:r w:rsidRPr="007E51A4">
                    <w:t>Traumatic amputation of hip and thigh</w:t>
                  </w:r>
                </w:p>
              </w:tc>
            </w:tr>
            <w:tr w:rsidR="00B060BD" w14:paraId="54B4C243" w14:textId="77777777" w:rsidTr="00AB35E0">
              <w:trPr>
                <w:trHeight w:val="204"/>
              </w:trPr>
              <w:tc>
                <w:tcPr>
                  <w:tcW w:w="15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3052D39" w14:textId="77777777" w:rsidR="00B060BD" w:rsidRPr="007E51A4" w:rsidRDefault="00B060BD" w:rsidP="00B060BD">
                  <w:pPr>
                    <w:pStyle w:val="EndnoteText"/>
                    <w:spacing w:before="40" w:after="40"/>
                  </w:pPr>
                  <w:r w:rsidRPr="007E51A4">
                    <w:t>S88</w:t>
                  </w:r>
                </w:p>
              </w:tc>
              <w:tc>
                <w:tcPr>
                  <w:tcW w:w="57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8A4C8B6" w14:textId="77777777" w:rsidR="00B060BD" w:rsidRPr="007E51A4" w:rsidRDefault="00B060BD" w:rsidP="00B060BD">
                  <w:pPr>
                    <w:pStyle w:val="EndnoteText"/>
                    <w:spacing w:before="40" w:after="40"/>
                  </w:pPr>
                  <w:r w:rsidRPr="007E51A4">
                    <w:t>Traumatic amputation of lower leg</w:t>
                  </w:r>
                </w:p>
              </w:tc>
            </w:tr>
            <w:tr w:rsidR="00B060BD" w14:paraId="0A33BBFB" w14:textId="77777777" w:rsidTr="00AB35E0">
              <w:trPr>
                <w:trHeight w:val="204"/>
              </w:trPr>
              <w:tc>
                <w:tcPr>
                  <w:tcW w:w="15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58D5D81" w14:textId="77777777" w:rsidR="00B060BD" w:rsidRPr="007E51A4" w:rsidRDefault="00B060BD" w:rsidP="00B060BD">
                  <w:pPr>
                    <w:pStyle w:val="EndnoteText"/>
                    <w:spacing w:before="40" w:after="40"/>
                  </w:pPr>
                  <w:r w:rsidRPr="007E51A4">
                    <w:t>S98</w:t>
                  </w:r>
                </w:p>
              </w:tc>
              <w:tc>
                <w:tcPr>
                  <w:tcW w:w="57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B48FD8D" w14:textId="77777777" w:rsidR="00B060BD" w:rsidRPr="007E51A4" w:rsidRDefault="00B060BD" w:rsidP="00B060BD">
                  <w:pPr>
                    <w:pStyle w:val="EndnoteText"/>
                    <w:spacing w:before="40" w:after="40"/>
                  </w:pPr>
                  <w:r w:rsidRPr="007E51A4">
                    <w:t>Traumatic amputation of ankle and foot</w:t>
                  </w:r>
                </w:p>
              </w:tc>
            </w:tr>
            <w:tr w:rsidR="00B060BD" w14:paraId="68119395" w14:textId="77777777" w:rsidTr="00AB35E0">
              <w:trPr>
                <w:trHeight w:val="204"/>
              </w:trPr>
              <w:tc>
                <w:tcPr>
                  <w:tcW w:w="15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DBF30AC" w14:textId="77777777" w:rsidR="00B060BD" w:rsidRPr="007E51A4" w:rsidRDefault="00B060BD" w:rsidP="00B060BD">
                  <w:pPr>
                    <w:pStyle w:val="EndnoteText"/>
                    <w:spacing w:before="40" w:after="40"/>
                  </w:pPr>
                  <w:r w:rsidRPr="007E51A4">
                    <w:t>T05.3</w:t>
                  </w:r>
                </w:p>
              </w:tc>
              <w:tc>
                <w:tcPr>
                  <w:tcW w:w="57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ABB21EF" w14:textId="77777777" w:rsidR="00B060BD" w:rsidRPr="007E51A4" w:rsidRDefault="00B060BD" w:rsidP="00B060BD">
                  <w:pPr>
                    <w:pStyle w:val="EndnoteText"/>
                    <w:spacing w:before="40" w:after="40"/>
                  </w:pPr>
                  <w:r w:rsidRPr="007E51A4">
                    <w:t>Traumatic amputation of both feet</w:t>
                  </w:r>
                </w:p>
              </w:tc>
            </w:tr>
            <w:tr w:rsidR="00B060BD" w14:paraId="5EBC5B94" w14:textId="77777777" w:rsidTr="00AB35E0">
              <w:trPr>
                <w:trHeight w:val="204"/>
              </w:trPr>
              <w:tc>
                <w:tcPr>
                  <w:tcW w:w="15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5579918" w14:textId="77777777" w:rsidR="00B060BD" w:rsidRPr="007E51A4" w:rsidRDefault="00B060BD" w:rsidP="00B060BD">
                  <w:pPr>
                    <w:pStyle w:val="EndnoteText"/>
                    <w:spacing w:before="40" w:after="40"/>
                  </w:pPr>
                  <w:r w:rsidRPr="007E51A4">
                    <w:t>T05.4</w:t>
                  </w:r>
                </w:p>
              </w:tc>
              <w:tc>
                <w:tcPr>
                  <w:tcW w:w="57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C98D8A8" w14:textId="77777777" w:rsidR="00B060BD" w:rsidRPr="007E51A4" w:rsidRDefault="00B060BD" w:rsidP="00B060BD">
                  <w:pPr>
                    <w:pStyle w:val="EndnoteText"/>
                    <w:spacing w:before="40" w:after="40"/>
                  </w:pPr>
                  <w:r w:rsidRPr="007E51A4">
                    <w:t>Traumatic amputation of one foot and other leg [any level, except foot]</w:t>
                  </w:r>
                </w:p>
              </w:tc>
            </w:tr>
            <w:tr w:rsidR="00B060BD" w14:paraId="675F5E9A" w14:textId="77777777" w:rsidTr="00AB35E0">
              <w:trPr>
                <w:trHeight w:val="204"/>
              </w:trPr>
              <w:tc>
                <w:tcPr>
                  <w:tcW w:w="15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B121F98" w14:textId="77777777" w:rsidR="00B060BD" w:rsidRPr="007E51A4" w:rsidRDefault="00B060BD" w:rsidP="00B060BD">
                  <w:pPr>
                    <w:pStyle w:val="EndnoteText"/>
                    <w:spacing w:before="40" w:after="40"/>
                  </w:pPr>
                  <w:r w:rsidRPr="007E51A4">
                    <w:t>T05.5</w:t>
                  </w:r>
                </w:p>
              </w:tc>
              <w:tc>
                <w:tcPr>
                  <w:tcW w:w="57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152FA77" w14:textId="77777777" w:rsidR="00B060BD" w:rsidRPr="007E51A4" w:rsidRDefault="00B060BD" w:rsidP="00B060BD">
                  <w:pPr>
                    <w:pStyle w:val="EndnoteText"/>
                    <w:spacing w:before="40" w:after="40"/>
                  </w:pPr>
                  <w:r w:rsidRPr="007E51A4">
                    <w:t>Traumatic amputation of both legs [any levels]</w:t>
                  </w:r>
                </w:p>
              </w:tc>
            </w:tr>
            <w:tr w:rsidR="00B060BD" w14:paraId="464E7FE4" w14:textId="77777777" w:rsidTr="00AB35E0">
              <w:trPr>
                <w:trHeight w:val="204"/>
              </w:trPr>
              <w:tc>
                <w:tcPr>
                  <w:tcW w:w="15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0BD1CB4" w14:textId="77777777" w:rsidR="00B060BD" w:rsidRPr="007E51A4" w:rsidRDefault="00B060BD" w:rsidP="00B060BD">
                  <w:pPr>
                    <w:pStyle w:val="EndnoteText"/>
                    <w:spacing w:before="40" w:after="40"/>
                  </w:pPr>
                  <w:r w:rsidRPr="007E51A4">
                    <w:t>T05.6</w:t>
                  </w:r>
                </w:p>
              </w:tc>
              <w:tc>
                <w:tcPr>
                  <w:tcW w:w="57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202F3C5" w14:textId="77777777" w:rsidR="00B060BD" w:rsidRPr="007E51A4" w:rsidRDefault="00B060BD" w:rsidP="00B060BD">
                  <w:pPr>
                    <w:pStyle w:val="EndnoteText"/>
                    <w:spacing w:before="40" w:after="40"/>
                  </w:pPr>
                  <w:r w:rsidRPr="007E51A4">
                    <w:t>Traumatic amputation of upper and lower limbs, any combination [any level]</w:t>
                  </w:r>
                </w:p>
              </w:tc>
            </w:tr>
            <w:tr w:rsidR="00B060BD" w14:paraId="13A92BB6" w14:textId="77777777" w:rsidTr="00AB35E0">
              <w:trPr>
                <w:trHeight w:val="204"/>
              </w:trPr>
              <w:tc>
                <w:tcPr>
                  <w:tcW w:w="15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C8D37EE" w14:textId="77777777" w:rsidR="00B060BD" w:rsidRPr="007E51A4" w:rsidRDefault="00B060BD" w:rsidP="00B060BD">
                  <w:pPr>
                    <w:pStyle w:val="EndnoteText"/>
                    <w:spacing w:before="40" w:after="40"/>
                  </w:pPr>
                  <w:r w:rsidRPr="007E51A4">
                    <w:t>T13.6</w:t>
                  </w:r>
                </w:p>
              </w:tc>
              <w:tc>
                <w:tcPr>
                  <w:tcW w:w="57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0A777BB" w14:textId="77777777" w:rsidR="00B060BD" w:rsidRPr="007E51A4" w:rsidRDefault="00B060BD" w:rsidP="00B060BD">
                  <w:pPr>
                    <w:pStyle w:val="EndnoteText"/>
                    <w:spacing w:before="40" w:after="40"/>
                  </w:pPr>
                  <w:r w:rsidRPr="007E51A4">
                    <w:t>Traumatic amputation of lower limb, level unspecified</w:t>
                  </w:r>
                </w:p>
              </w:tc>
            </w:tr>
          </w:tbl>
          <w:p w14:paraId="5BFE925F" w14:textId="77777777" w:rsidR="00B060BD" w:rsidRDefault="00B060BD" w:rsidP="00B060BD">
            <w:pPr>
              <w:pStyle w:val="EndnoteText"/>
              <w:rPr>
                <w:sz w:val="16"/>
                <w:szCs w:val="16"/>
              </w:rPr>
            </w:pPr>
          </w:p>
          <w:p w14:paraId="50423BA0" w14:textId="77777777" w:rsidR="00B060BD" w:rsidRPr="007E51A4" w:rsidRDefault="00B060BD" w:rsidP="00B060BD">
            <w:pPr>
              <w:rPr>
                <w:rFonts w:cs="Arial"/>
                <w:bCs/>
                <w:iCs/>
                <w:lang w:eastAsia="en-NZ"/>
              </w:rPr>
            </w:pPr>
            <w:r w:rsidRPr="007E51A4">
              <w:rPr>
                <w:rFonts w:cs="Arial"/>
                <w:bCs/>
                <w:iCs/>
                <w:lang w:eastAsia="en-NZ"/>
              </w:rPr>
              <w:t>Primary lower</w:t>
            </w:r>
            <w:r>
              <w:rPr>
                <w:rFonts w:cs="Arial"/>
                <w:bCs/>
                <w:iCs/>
                <w:lang w:eastAsia="en-NZ"/>
              </w:rPr>
              <w:t>-</w:t>
            </w:r>
            <w:r w:rsidRPr="007E51A4">
              <w:rPr>
                <w:rFonts w:cs="Arial"/>
                <w:bCs/>
                <w:iCs/>
                <w:lang w:eastAsia="en-NZ"/>
              </w:rPr>
              <w:t>limb cancer</w:t>
            </w:r>
          </w:p>
          <w:tbl>
            <w:tblPr>
              <w:tblW w:w="7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5783"/>
            </w:tblGrid>
            <w:tr w:rsidR="00B060BD" w14:paraId="236E372B" w14:textId="77777777" w:rsidTr="00AB35E0">
              <w:trPr>
                <w:trHeight w:val="204"/>
              </w:trPr>
              <w:tc>
                <w:tcPr>
                  <w:tcW w:w="15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17F63F4C" w14:textId="77777777" w:rsidR="00B060BD" w:rsidRPr="007E51A4" w:rsidRDefault="00B060BD" w:rsidP="00B060BD">
                  <w:pPr>
                    <w:spacing w:before="40" w:after="40"/>
                    <w:rPr>
                      <w:rFonts w:cs="Arial"/>
                      <w:b/>
                      <w:bCs/>
                      <w:sz w:val="20"/>
                      <w:lang w:eastAsia="en-NZ"/>
                    </w:rPr>
                  </w:pPr>
                  <w:r w:rsidRPr="007E51A4">
                    <w:rPr>
                      <w:rFonts w:cs="Arial"/>
                      <w:b/>
                      <w:bCs/>
                      <w:sz w:val="20"/>
                      <w:lang w:eastAsia="en-NZ"/>
                    </w:rPr>
                    <w:t>Clinical code</w:t>
                  </w:r>
                </w:p>
              </w:tc>
              <w:tc>
                <w:tcPr>
                  <w:tcW w:w="57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5CE6F5BD" w14:textId="77777777" w:rsidR="00B060BD" w:rsidRPr="007E51A4" w:rsidRDefault="00B060BD" w:rsidP="00B060BD">
                  <w:pPr>
                    <w:spacing w:before="40" w:after="40"/>
                    <w:rPr>
                      <w:rFonts w:cs="Arial"/>
                      <w:b/>
                      <w:bCs/>
                      <w:sz w:val="20"/>
                      <w:lang w:eastAsia="en-NZ"/>
                    </w:rPr>
                  </w:pPr>
                  <w:r w:rsidRPr="007E51A4">
                    <w:rPr>
                      <w:rFonts w:cs="Arial"/>
                      <w:b/>
                      <w:bCs/>
                      <w:sz w:val="20"/>
                      <w:lang w:eastAsia="en-NZ"/>
                    </w:rPr>
                    <w:t>Clinical code description</w:t>
                  </w:r>
                </w:p>
              </w:tc>
            </w:tr>
            <w:tr w:rsidR="00B060BD" w14:paraId="44D48942" w14:textId="77777777" w:rsidTr="00AB35E0">
              <w:trPr>
                <w:trHeight w:val="204"/>
              </w:trPr>
              <w:tc>
                <w:tcPr>
                  <w:tcW w:w="15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5647287D" w14:textId="77777777" w:rsidR="00B060BD" w:rsidRPr="007E51A4" w:rsidRDefault="00B060BD" w:rsidP="00B060BD">
                  <w:pPr>
                    <w:spacing w:before="40" w:after="40"/>
                    <w:rPr>
                      <w:rFonts w:cs="Arial"/>
                      <w:sz w:val="20"/>
                      <w:lang w:eastAsia="en-NZ"/>
                    </w:rPr>
                  </w:pPr>
                  <w:r w:rsidRPr="007E51A4">
                    <w:rPr>
                      <w:rFonts w:cs="Arial"/>
                      <w:sz w:val="20"/>
                      <w:lang w:eastAsia="en-NZ"/>
                    </w:rPr>
                    <w:t>C40.2</w:t>
                  </w:r>
                </w:p>
              </w:tc>
              <w:tc>
                <w:tcPr>
                  <w:tcW w:w="57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02E92246" w14:textId="77777777" w:rsidR="00B060BD" w:rsidRPr="007E51A4" w:rsidRDefault="00B060BD" w:rsidP="00B060BD">
                  <w:pPr>
                    <w:spacing w:before="40" w:after="40"/>
                    <w:rPr>
                      <w:rFonts w:cs="Arial"/>
                      <w:sz w:val="20"/>
                      <w:lang w:eastAsia="en-NZ"/>
                    </w:rPr>
                  </w:pPr>
                  <w:r w:rsidRPr="007E51A4">
                    <w:rPr>
                      <w:rFonts w:cs="Arial"/>
                      <w:sz w:val="20"/>
                      <w:lang w:eastAsia="en-NZ"/>
                    </w:rPr>
                    <w:t>Malignant neoplasm of long bones of lower limb</w:t>
                  </w:r>
                </w:p>
              </w:tc>
            </w:tr>
            <w:tr w:rsidR="00B060BD" w14:paraId="52F4C5F7" w14:textId="77777777" w:rsidTr="00AB35E0">
              <w:trPr>
                <w:trHeight w:val="204"/>
              </w:trPr>
              <w:tc>
                <w:tcPr>
                  <w:tcW w:w="15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28A27ACD" w14:textId="77777777" w:rsidR="00B060BD" w:rsidRPr="007E51A4" w:rsidRDefault="00B060BD" w:rsidP="00B060BD">
                  <w:pPr>
                    <w:spacing w:before="40" w:after="40"/>
                    <w:rPr>
                      <w:rFonts w:cs="Arial"/>
                      <w:sz w:val="20"/>
                      <w:lang w:eastAsia="en-NZ"/>
                    </w:rPr>
                  </w:pPr>
                  <w:r w:rsidRPr="007E51A4">
                    <w:rPr>
                      <w:rFonts w:cs="Arial"/>
                      <w:sz w:val="20"/>
                      <w:lang w:eastAsia="en-NZ"/>
                    </w:rPr>
                    <w:t>C40.3</w:t>
                  </w:r>
                </w:p>
              </w:tc>
              <w:tc>
                <w:tcPr>
                  <w:tcW w:w="57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7C4DE26F" w14:textId="77777777" w:rsidR="00B060BD" w:rsidRPr="007E51A4" w:rsidRDefault="00B060BD" w:rsidP="00B060BD">
                  <w:pPr>
                    <w:spacing w:before="40" w:after="40"/>
                    <w:rPr>
                      <w:rFonts w:cs="Arial"/>
                      <w:sz w:val="20"/>
                      <w:lang w:eastAsia="en-NZ"/>
                    </w:rPr>
                  </w:pPr>
                  <w:r w:rsidRPr="007E51A4">
                    <w:rPr>
                      <w:rFonts w:cs="Arial"/>
                      <w:sz w:val="20"/>
                      <w:lang w:eastAsia="en-NZ"/>
                    </w:rPr>
                    <w:t>Malignant neoplasm of short bones of lower limb</w:t>
                  </w:r>
                </w:p>
              </w:tc>
            </w:tr>
            <w:tr w:rsidR="00B060BD" w14:paraId="6D5945AC" w14:textId="77777777" w:rsidTr="00AB35E0">
              <w:trPr>
                <w:trHeight w:val="204"/>
              </w:trPr>
              <w:tc>
                <w:tcPr>
                  <w:tcW w:w="15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135B887F" w14:textId="77777777" w:rsidR="00B060BD" w:rsidRPr="007E51A4" w:rsidRDefault="00B060BD" w:rsidP="00B060BD">
                  <w:pPr>
                    <w:spacing w:before="40" w:after="40"/>
                    <w:rPr>
                      <w:rFonts w:cs="Arial"/>
                      <w:sz w:val="20"/>
                      <w:lang w:eastAsia="en-NZ"/>
                    </w:rPr>
                  </w:pPr>
                  <w:r w:rsidRPr="007E51A4">
                    <w:rPr>
                      <w:rFonts w:cs="Arial"/>
                      <w:sz w:val="20"/>
                      <w:lang w:eastAsia="en-NZ"/>
                    </w:rPr>
                    <w:t>C43.7</w:t>
                  </w:r>
                </w:p>
              </w:tc>
              <w:tc>
                <w:tcPr>
                  <w:tcW w:w="57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39903BF7" w14:textId="77777777" w:rsidR="00B060BD" w:rsidRPr="007E51A4" w:rsidRDefault="00B060BD" w:rsidP="00B060BD">
                  <w:pPr>
                    <w:spacing w:before="40" w:after="40"/>
                    <w:rPr>
                      <w:rFonts w:cs="Arial"/>
                      <w:sz w:val="20"/>
                      <w:lang w:eastAsia="en-NZ"/>
                    </w:rPr>
                  </w:pPr>
                  <w:r w:rsidRPr="007E51A4">
                    <w:rPr>
                      <w:rFonts w:cs="Arial"/>
                      <w:sz w:val="20"/>
                      <w:lang w:eastAsia="en-NZ"/>
                    </w:rPr>
                    <w:t>Malignant melanoma of lower limb, including hip</w:t>
                  </w:r>
                </w:p>
              </w:tc>
            </w:tr>
            <w:tr w:rsidR="00B060BD" w14:paraId="01ACB78B" w14:textId="77777777" w:rsidTr="00AB35E0">
              <w:trPr>
                <w:trHeight w:val="204"/>
              </w:trPr>
              <w:tc>
                <w:tcPr>
                  <w:tcW w:w="15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14D2DA9D" w14:textId="77777777" w:rsidR="00B060BD" w:rsidRPr="007E51A4" w:rsidRDefault="00B060BD" w:rsidP="00AB35E0">
                  <w:pPr>
                    <w:spacing w:before="40" w:after="0"/>
                    <w:rPr>
                      <w:rFonts w:cs="Arial"/>
                      <w:sz w:val="20"/>
                      <w:lang w:eastAsia="en-NZ"/>
                    </w:rPr>
                  </w:pPr>
                  <w:r w:rsidRPr="007E51A4">
                    <w:rPr>
                      <w:rFonts w:cs="Arial"/>
                      <w:sz w:val="20"/>
                      <w:lang w:eastAsia="en-NZ"/>
                    </w:rPr>
                    <w:t>C49.2</w:t>
                  </w:r>
                </w:p>
              </w:tc>
              <w:tc>
                <w:tcPr>
                  <w:tcW w:w="57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781967B6" w14:textId="77777777" w:rsidR="00B060BD" w:rsidRPr="007E51A4" w:rsidRDefault="00B060BD" w:rsidP="00AB35E0">
                  <w:pPr>
                    <w:spacing w:before="40" w:after="0"/>
                    <w:rPr>
                      <w:rFonts w:cs="Arial"/>
                      <w:sz w:val="20"/>
                      <w:lang w:eastAsia="en-NZ"/>
                    </w:rPr>
                  </w:pPr>
                  <w:r w:rsidRPr="007E51A4">
                    <w:rPr>
                      <w:rFonts w:cs="Arial"/>
                      <w:sz w:val="20"/>
                      <w:lang w:eastAsia="en-NZ"/>
                    </w:rPr>
                    <w:t>Malignant neoplasm of connective and soft tissue of lower limb, including hip</w:t>
                  </w:r>
                </w:p>
              </w:tc>
            </w:tr>
            <w:tr w:rsidR="00AB35E0" w14:paraId="2F509775" w14:textId="77777777" w:rsidTr="00AB35E0">
              <w:trPr>
                <w:trHeight w:val="57"/>
              </w:trPr>
              <w:tc>
                <w:tcPr>
                  <w:tcW w:w="1588" w:type="dxa"/>
                  <w:tcBorders>
                    <w:top w:val="single" w:sz="4" w:space="0" w:color="BFBFBF" w:themeColor="background1" w:themeShade="BF"/>
                    <w:left w:val="nil"/>
                    <w:bottom w:val="nil"/>
                    <w:right w:val="nil"/>
                  </w:tcBorders>
                  <w:noWrap/>
                  <w:vAlign w:val="bottom"/>
                </w:tcPr>
                <w:p w14:paraId="5B3D1199" w14:textId="77777777" w:rsidR="00AB35E0" w:rsidRPr="007E51A4" w:rsidRDefault="00AB35E0" w:rsidP="00AB35E0">
                  <w:pPr>
                    <w:spacing w:before="40" w:after="0"/>
                    <w:rPr>
                      <w:rFonts w:cs="Arial"/>
                      <w:sz w:val="20"/>
                      <w:lang w:eastAsia="en-NZ"/>
                    </w:rPr>
                  </w:pPr>
                </w:p>
              </w:tc>
              <w:tc>
                <w:tcPr>
                  <w:tcW w:w="5783" w:type="dxa"/>
                  <w:tcBorders>
                    <w:top w:val="single" w:sz="4" w:space="0" w:color="BFBFBF" w:themeColor="background1" w:themeShade="BF"/>
                    <w:left w:val="nil"/>
                    <w:bottom w:val="nil"/>
                    <w:right w:val="nil"/>
                  </w:tcBorders>
                  <w:noWrap/>
                  <w:vAlign w:val="bottom"/>
                </w:tcPr>
                <w:p w14:paraId="50D8FC37" w14:textId="77777777" w:rsidR="00AB35E0" w:rsidRPr="007E51A4" w:rsidRDefault="00AB35E0" w:rsidP="00AB35E0">
                  <w:pPr>
                    <w:spacing w:before="40" w:after="0"/>
                    <w:rPr>
                      <w:rFonts w:cs="Arial"/>
                      <w:sz w:val="20"/>
                      <w:lang w:eastAsia="en-NZ"/>
                    </w:rPr>
                  </w:pPr>
                </w:p>
              </w:tc>
            </w:tr>
          </w:tbl>
          <w:p w14:paraId="75DFCA48" w14:textId="77777777" w:rsidR="00B060BD" w:rsidRPr="000D2F1C" w:rsidRDefault="00B060BD" w:rsidP="004B0E26">
            <w:pPr>
              <w:pStyle w:val="Header"/>
              <w:spacing w:before="60"/>
            </w:pPr>
          </w:p>
        </w:tc>
      </w:tr>
      <w:tr w:rsidR="004B0E26" w:rsidRPr="00D42C24" w14:paraId="79AB4A69" w14:textId="77777777" w:rsidTr="00FD11B2">
        <w:trPr>
          <w:trHeight w:val="327"/>
        </w:trPr>
        <w:tc>
          <w:tcPr>
            <w:tcW w:w="1696" w:type="dxa"/>
            <w:shd w:val="clear" w:color="auto" w:fill="auto"/>
          </w:tcPr>
          <w:p w14:paraId="61A224F1" w14:textId="00CC9A7C" w:rsidR="004B0E26" w:rsidRPr="00D42C24" w:rsidRDefault="004B0E26" w:rsidP="004B0E26">
            <w:pPr>
              <w:pStyle w:val="Header"/>
              <w:spacing w:before="60"/>
              <w:rPr>
                <w:rFonts w:cs="Arial"/>
                <w:szCs w:val="22"/>
              </w:rPr>
            </w:pPr>
            <w:r w:rsidRPr="00D42C24">
              <w:rPr>
                <w:rFonts w:cs="Arial"/>
                <w:szCs w:val="22"/>
              </w:rPr>
              <w:t>Comment</w:t>
            </w:r>
            <w:r>
              <w:rPr>
                <w:rFonts w:cs="Arial"/>
                <w:szCs w:val="22"/>
              </w:rPr>
              <w:t>ary</w:t>
            </w:r>
          </w:p>
        </w:tc>
        <w:tc>
          <w:tcPr>
            <w:tcW w:w="7626" w:type="dxa"/>
            <w:shd w:val="clear" w:color="auto" w:fill="auto"/>
          </w:tcPr>
          <w:p w14:paraId="4BEA1D15" w14:textId="77777777" w:rsidR="00514EA6" w:rsidRPr="00514EA6" w:rsidRDefault="00514EA6" w:rsidP="00AB35E0">
            <w:pPr>
              <w:spacing w:before="60"/>
              <w:rPr>
                <w:rFonts w:cs="Arial"/>
              </w:rPr>
            </w:pPr>
            <w:bookmarkStart w:id="4" w:name="_Hlk156899946"/>
            <w:r w:rsidRPr="00514EA6">
              <w:rPr>
                <w:rFonts w:cs="Arial"/>
              </w:rPr>
              <w:t>Description:</w:t>
            </w:r>
          </w:p>
          <w:p w14:paraId="6F6A83E5" w14:textId="1894BB33" w:rsidR="00514EA6" w:rsidRPr="00514EA6" w:rsidRDefault="00514EA6" w:rsidP="00514EA6">
            <w:pPr>
              <w:rPr>
                <w:rFonts w:cs="Arial"/>
              </w:rPr>
            </w:pPr>
            <w:r w:rsidRPr="00514EA6">
              <w:rPr>
                <w:rFonts w:cs="Arial"/>
              </w:rPr>
              <w:t>This indicator shows the number and percent of people with diabetes undergoing a lower</w:t>
            </w:r>
            <w:r w:rsidR="00DF0ABA">
              <w:rPr>
                <w:rFonts w:cs="Arial"/>
              </w:rPr>
              <w:t>-</w:t>
            </w:r>
            <w:r w:rsidRPr="00514EA6">
              <w:rPr>
                <w:rFonts w:cs="Arial"/>
              </w:rPr>
              <w:t>limb amputation.</w:t>
            </w:r>
          </w:p>
          <w:p w14:paraId="59FB0FD6" w14:textId="77777777" w:rsidR="00514EA6" w:rsidRPr="00514EA6" w:rsidRDefault="00514EA6" w:rsidP="00B20723">
            <w:pPr>
              <w:spacing w:before="240"/>
              <w:rPr>
                <w:rFonts w:cs="Arial"/>
              </w:rPr>
            </w:pPr>
            <w:r w:rsidRPr="00514EA6">
              <w:rPr>
                <w:rFonts w:cs="Arial"/>
              </w:rPr>
              <w:t xml:space="preserve">Note: </w:t>
            </w:r>
          </w:p>
          <w:p w14:paraId="0F9B6973" w14:textId="77777777" w:rsidR="00514EA6" w:rsidRPr="00514EA6" w:rsidRDefault="00514EA6" w:rsidP="00514EA6">
            <w:pPr>
              <w:numPr>
                <w:ilvl w:val="0"/>
                <w:numId w:val="4"/>
              </w:numPr>
              <w:rPr>
                <w:rFonts w:cs="Arial"/>
              </w:rPr>
            </w:pPr>
            <w:r w:rsidRPr="00514EA6">
              <w:rPr>
                <w:rFonts w:cs="Arial"/>
              </w:rPr>
              <w:t>Cancer and trauma amputations with following clinical codes (ICD-10-AM-VI) were excluded.</w:t>
            </w:r>
          </w:p>
          <w:p w14:paraId="5829190C" w14:textId="1CDE4ECC" w:rsidR="00514EA6" w:rsidRPr="00514EA6" w:rsidRDefault="00514EA6" w:rsidP="00514EA6">
            <w:pPr>
              <w:numPr>
                <w:ilvl w:val="0"/>
                <w:numId w:val="4"/>
              </w:numPr>
              <w:rPr>
                <w:rFonts w:cs="Arial"/>
              </w:rPr>
            </w:pPr>
            <w:r w:rsidRPr="00514EA6">
              <w:rPr>
                <w:rFonts w:cs="Arial"/>
              </w:rPr>
              <w:t xml:space="preserve">Only one amputation per person in the </w:t>
            </w:r>
            <w:r w:rsidR="000A347C">
              <w:rPr>
                <w:rFonts w:cs="Arial"/>
              </w:rPr>
              <w:t>VDR</w:t>
            </w:r>
            <w:r w:rsidRPr="00514EA6">
              <w:rPr>
                <w:rFonts w:cs="Arial"/>
              </w:rPr>
              <w:t xml:space="preserve"> is reported in this indicator.</w:t>
            </w:r>
          </w:p>
          <w:p w14:paraId="5522E9E9" w14:textId="77777777" w:rsidR="00514EA6" w:rsidRPr="00514EA6" w:rsidRDefault="00514EA6" w:rsidP="00B20723">
            <w:pPr>
              <w:spacing w:before="240"/>
              <w:rPr>
                <w:rFonts w:cs="Arial"/>
              </w:rPr>
            </w:pPr>
            <w:r w:rsidRPr="00514EA6">
              <w:rPr>
                <w:rFonts w:cs="Arial"/>
              </w:rPr>
              <w:t>Why is this important?</w:t>
            </w:r>
          </w:p>
          <w:p w14:paraId="377475D9" w14:textId="77777777" w:rsidR="00514EA6" w:rsidRPr="00514EA6" w:rsidRDefault="00514EA6" w:rsidP="00514EA6">
            <w:pPr>
              <w:rPr>
                <w:rFonts w:cs="Arial"/>
              </w:rPr>
            </w:pPr>
            <w:r w:rsidRPr="00514EA6">
              <w:rPr>
                <w:rFonts w:cs="Arial"/>
              </w:rPr>
              <w:t>Diabetes is a major cause of non-traumatic amputations and is a strong indicator on the quality of care. Wide variation in rates may highlight disparities.</w:t>
            </w:r>
          </w:p>
          <w:p w14:paraId="05022B32" w14:textId="77777777" w:rsidR="00514EA6" w:rsidRPr="00514EA6" w:rsidRDefault="00514EA6" w:rsidP="00B20723">
            <w:pPr>
              <w:spacing w:before="240"/>
              <w:rPr>
                <w:rFonts w:cs="Arial"/>
              </w:rPr>
            </w:pPr>
            <w:r w:rsidRPr="00514EA6">
              <w:rPr>
                <w:rFonts w:cs="Arial"/>
              </w:rPr>
              <w:t>What questions does this prompt?</w:t>
            </w:r>
          </w:p>
          <w:p w14:paraId="3F3FDC7B" w14:textId="77777777" w:rsidR="00514EA6" w:rsidRPr="00514EA6" w:rsidRDefault="00514EA6" w:rsidP="00AA34DB">
            <w:pPr>
              <w:numPr>
                <w:ilvl w:val="0"/>
                <w:numId w:val="4"/>
              </w:numPr>
              <w:rPr>
                <w:rFonts w:cs="Arial"/>
              </w:rPr>
            </w:pPr>
            <w:r w:rsidRPr="00514EA6">
              <w:rPr>
                <w:rFonts w:cs="Arial"/>
              </w:rPr>
              <w:t>Where amputation rates are low, what might this be due to?</w:t>
            </w:r>
          </w:p>
          <w:p w14:paraId="24700CE4" w14:textId="61528A0D" w:rsidR="006B2F61" w:rsidRPr="00AA34DB" w:rsidRDefault="00514EA6" w:rsidP="00AA34DB">
            <w:pPr>
              <w:numPr>
                <w:ilvl w:val="0"/>
                <w:numId w:val="4"/>
              </w:numPr>
              <w:spacing w:after="120"/>
              <w:rPr>
                <w:rFonts w:cs="Arial"/>
              </w:rPr>
            </w:pPr>
            <w:r w:rsidRPr="00514EA6">
              <w:rPr>
                <w:rFonts w:cs="Arial"/>
              </w:rPr>
              <w:t>Where amputation rates are high, what might this be due to?</w:t>
            </w:r>
            <w:bookmarkEnd w:id="4"/>
          </w:p>
        </w:tc>
      </w:tr>
    </w:tbl>
    <w:p w14:paraId="6AA5D8AE" w14:textId="77777777" w:rsidR="0000087A" w:rsidRPr="00D42C24" w:rsidRDefault="0000087A" w:rsidP="0000087A">
      <w:pPr>
        <w:rPr>
          <w:rFonts w:cs="Arial"/>
          <w:szCs w:val="22"/>
        </w:rPr>
      </w:pPr>
    </w:p>
    <w:tbl>
      <w:tblPr>
        <w:tblW w:w="932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A0" w:firstRow="1" w:lastRow="0" w:firstColumn="1" w:lastColumn="0" w:noHBand="0" w:noVBand="0"/>
      </w:tblPr>
      <w:tblGrid>
        <w:gridCol w:w="1696"/>
        <w:gridCol w:w="7626"/>
      </w:tblGrid>
      <w:tr w:rsidR="00564994" w:rsidRPr="00D42C24" w14:paraId="11D0EF39" w14:textId="77777777" w:rsidTr="00FD11B2">
        <w:trPr>
          <w:trHeight w:val="327"/>
        </w:trPr>
        <w:tc>
          <w:tcPr>
            <w:tcW w:w="1696" w:type="dxa"/>
            <w:shd w:val="clear" w:color="auto" w:fill="auto"/>
          </w:tcPr>
          <w:p w14:paraId="7FE4B860" w14:textId="7B702B33" w:rsidR="00564994" w:rsidRPr="00564994" w:rsidRDefault="00564994" w:rsidP="00564994">
            <w:pPr>
              <w:pStyle w:val="Header"/>
              <w:spacing w:before="60"/>
              <w:rPr>
                <w:rFonts w:cs="Arial"/>
                <w:b/>
                <w:bCs/>
                <w:color w:val="808080"/>
                <w:szCs w:val="22"/>
              </w:rPr>
            </w:pPr>
            <w:r w:rsidRPr="00564994">
              <w:rPr>
                <w:b/>
                <w:bCs/>
              </w:rPr>
              <w:lastRenderedPageBreak/>
              <w:t>Indicator #</w:t>
            </w:r>
            <w:r w:rsidR="00B060BD">
              <w:rPr>
                <w:b/>
                <w:bCs/>
              </w:rPr>
              <w:t>13</w:t>
            </w:r>
            <w:r w:rsidRPr="00564994">
              <w:rPr>
                <w:b/>
                <w:bCs/>
              </w:rPr>
              <w:t>:</w:t>
            </w:r>
          </w:p>
        </w:tc>
        <w:tc>
          <w:tcPr>
            <w:tcW w:w="7626" w:type="dxa"/>
            <w:shd w:val="clear" w:color="auto" w:fill="auto"/>
          </w:tcPr>
          <w:p w14:paraId="04823251" w14:textId="78AF3A77" w:rsidR="00564994" w:rsidRPr="00D42C24" w:rsidRDefault="00564994" w:rsidP="00564994">
            <w:pPr>
              <w:pStyle w:val="Header"/>
              <w:spacing w:before="60"/>
              <w:rPr>
                <w:rFonts w:cs="Arial"/>
                <w:b/>
                <w:color w:val="000000"/>
                <w:szCs w:val="22"/>
              </w:rPr>
            </w:pPr>
            <w:r w:rsidRPr="00284528">
              <w:t>Proportion of medical-surgical bed</w:t>
            </w:r>
            <w:r w:rsidR="005E580B">
              <w:t>-</w:t>
            </w:r>
            <w:r w:rsidRPr="00284528">
              <w:t>days for people with diabetes</w:t>
            </w:r>
          </w:p>
        </w:tc>
      </w:tr>
      <w:tr w:rsidR="00564994" w:rsidRPr="00D42C24" w14:paraId="0001C843" w14:textId="77777777" w:rsidTr="00FD11B2">
        <w:trPr>
          <w:trHeight w:val="327"/>
        </w:trPr>
        <w:tc>
          <w:tcPr>
            <w:tcW w:w="1696" w:type="dxa"/>
            <w:shd w:val="clear" w:color="auto" w:fill="auto"/>
          </w:tcPr>
          <w:p w14:paraId="17760E1D" w14:textId="488FAD72" w:rsidR="00564994" w:rsidRPr="00D42C24" w:rsidRDefault="00564994" w:rsidP="00564994">
            <w:pPr>
              <w:pStyle w:val="Header"/>
              <w:spacing w:before="60"/>
              <w:rPr>
                <w:rFonts w:cs="Arial"/>
                <w:szCs w:val="22"/>
              </w:rPr>
            </w:pPr>
            <w:r w:rsidRPr="00284528">
              <w:t>Numerator</w:t>
            </w:r>
          </w:p>
        </w:tc>
        <w:tc>
          <w:tcPr>
            <w:tcW w:w="7626" w:type="dxa"/>
            <w:shd w:val="clear" w:color="auto" w:fill="auto"/>
          </w:tcPr>
          <w:p w14:paraId="6A812B3E" w14:textId="77777777" w:rsidR="00514EA6" w:rsidRPr="00FD6AEC" w:rsidRDefault="00514EA6" w:rsidP="00514EA6">
            <w:pPr>
              <w:pStyle w:val="Header"/>
              <w:spacing w:before="60"/>
              <w:rPr>
                <w:rFonts w:cs="Arial"/>
              </w:rPr>
            </w:pPr>
            <w:r w:rsidRPr="00FD6AEC">
              <w:rPr>
                <w:rFonts w:cs="Arial"/>
              </w:rPr>
              <w:t>Number of medical-surgical bed-days occupied by people with diabetes (from VDR)</w:t>
            </w:r>
          </w:p>
          <w:p w14:paraId="27082F0D" w14:textId="4F7CCFCF" w:rsidR="006B2F61" w:rsidRPr="00D42C24" w:rsidRDefault="006B2F61" w:rsidP="00564994">
            <w:pPr>
              <w:pStyle w:val="Header"/>
              <w:spacing w:before="60"/>
              <w:rPr>
                <w:rFonts w:cs="Arial"/>
                <w:szCs w:val="22"/>
              </w:rPr>
            </w:pPr>
            <w:r>
              <w:t xml:space="preserve">Note: </w:t>
            </w:r>
            <w:r w:rsidRPr="00284528">
              <w:t>Non-</w:t>
            </w:r>
            <w:r w:rsidR="00F850AA" w:rsidRPr="00284528">
              <w:t>casemix</w:t>
            </w:r>
            <w:r w:rsidRPr="00284528">
              <w:t xml:space="preserve"> events were excluded using the PU = EXCLU filter. This removes events that are funded differently or not funded, for example, error </w:t>
            </w:r>
            <w:r w:rsidR="0082190B" w:rsidRPr="0082190B">
              <w:rPr>
                <w:rStyle w:val="cf01"/>
                <w:rFonts w:ascii="Arial" w:hAnsi="Arial" w:cs="Arial"/>
                <w:sz w:val="22"/>
                <w:szCs w:val="22"/>
              </w:rPr>
              <w:t>Diagnostic Related Groups</w:t>
            </w:r>
            <w:r w:rsidRPr="00284528">
              <w:t xml:space="preserve">, non-treated patients (boarders or cancelled operations), mental health events, </w:t>
            </w:r>
            <w:r w:rsidR="00BC0449" w:rsidRPr="00284528">
              <w:t>disability,</w:t>
            </w:r>
            <w:r w:rsidRPr="00284528">
              <w:t xml:space="preserve"> and some health of older people events such as rest home or respite care events</w:t>
            </w:r>
            <w:r w:rsidR="009838A7">
              <w:t>.</w:t>
            </w:r>
          </w:p>
        </w:tc>
      </w:tr>
      <w:tr w:rsidR="00564994" w:rsidRPr="00D42C24" w14:paraId="4ED9B837" w14:textId="77777777" w:rsidTr="00FD11B2">
        <w:trPr>
          <w:trHeight w:val="327"/>
        </w:trPr>
        <w:tc>
          <w:tcPr>
            <w:tcW w:w="1696" w:type="dxa"/>
            <w:shd w:val="clear" w:color="auto" w:fill="auto"/>
          </w:tcPr>
          <w:p w14:paraId="5F6C7134" w14:textId="1BBF9303" w:rsidR="00564994" w:rsidRPr="00D42C24" w:rsidRDefault="00564994" w:rsidP="00564994">
            <w:pPr>
              <w:pStyle w:val="Header"/>
              <w:spacing w:before="60"/>
              <w:rPr>
                <w:rFonts w:cs="Arial"/>
                <w:szCs w:val="22"/>
              </w:rPr>
            </w:pPr>
            <w:r w:rsidRPr="00284528">
              <w:t>Denominator</w:t>
            </w:r>
          </w:p>
        </w:tc>
        <w:tc>
          <w:tcPr>
            <w:tcW w:w="7626" w:type="dxa"/>
            <w:shd w:val="clear" w:color="auto" w:fill="auto"/>
          </w:tcPr>
          <w:p w14:paraId="5E3FC0F1" w14:textId="0CD3F983" w:rsidR="00564994" w:rsidRPr="00514EA6" w:rsidRDefault="00514EA6" w:rsidP="00564994">
            <w:pPr>
              <w:pStyle w:val="Header"/>
              <w:spacing w:before="60"/>
              <w:rPr>
                <w:rFonts w:cs="Arial"/>
              </w:rPr>
            </w:pPr>
            <w:r w:rsidRPr="00FD6AEC">
              <w:rPr>
                <w:rFonts w:cs="Arial"/>
              </w:rPr>
              <w:t xml:space="preserve">Total number of occupied bed-days for medical and surgical discharges </w:t>
            </w:r>
          </w:p>
        </w:tc>
      </w:tr>
      <w:tr w:rsidR="00564994" w:rsidRPr="00D42C24" w14:paraId="736762C8" w14:textId="77777777" w:rsidTr="00FD11B2">
        <w:trPr>
          <w:trHeight w:val="327"/>
        </w:trPr>
        <w:tc>
          <w:tcPr>
            <w:tcW w:w="1696" w:type="dxa"/>
            <w:shd w:val="clear" w:color="auto" w:fill="auto"/>
          </w:tcPr>
          <w:p w14:paraId="117CE795" w14:textId="24670435" w:rsidR="00564994" w:rsidRPr="00D42C24" w:rsidRDefault="00564994" w:rsidP="00564994">
            <w:pPr>
              <w:pStyle w:val="Header"/>
              <w:spacing w:before="60"/>
              <w:rPr>
                <w:rFonts w:cs="Arial"/>
                <w:szCs w:val="22"/>
              </w:rPr>
            </w:pPr>
            <w:r w:rsidRPr="00284528">
              <w:t>Data source</w:t>
            </w:r>
          </w:p>
        </w:tc>
        <w:tc>
          <w:tcPr>
            <w:tcW w:w="7626" w:type="dxa"/>
            <w:shd w:val="clear" w:color="auto" w:fill="auto"/>
          </w:tcPr>
          <w:p w14:paraId="61969C17" w14:textId="72D248C6" w:rsidR="00564994" w:rsidRDefault="006B2F61" w:rsidP="006B2F61">
            <w:pPr>
              <w:spacing w:before="60"/>
            </w:pPr>
            <w:r>
              <w:t>NMDS</w:t>
            </w:r>
          </w:p>
          <w:p w14:paraId="7FCCEB2F" w14:textId="049B64F2" w:rsidR="009B1F7F" w:rsidRPr="006B2F61" w:rsidRDefault="009B1F7F" w:rsidP="006B2F61">
            <w:pPr>
              <w:spacing w:before="60"/>
            </w:pPr>
            <w:r>
              <w:t>VDR</w:t>
            </w:r>
          </w:p>
        </w:tc>
      </w:tr>
      <w:tr w:rsidR="006B2F61" w:rsidRPr="00D42C24" w14:paraId="68191086" w14:textId="77777777" w:rsidTr="00FD11B2">
        <w:trPr>
          <w:trHeight w:val="327"/>
        </w:trPr>
        <w:tc>
          <w:tcPr>
            <w:tcW w:w="1696" w:type="dxa"/>
            <w:shd w:val="clear" w:color="auto" w:fill="auto"/>
          </w:tcPr>
          <w:p w14:paraId="2619D6C5" w14:textId="0E91411A" w:rsidR="006B2F61" w:rsidRPr="00284528" w:rsidRDefault="006B2F61" w:rsidP="006B2F61">
            <w:pPr>
              <w:pStyle w:val="Header"/>
              <w:spacing w:before="60"/>
            </w:pPr>
            <w:r>
              <w:rPr>
                <w:rFonts w:cs="Arial"/>
                <w:szCs w:val="22"/>
              </w:rPr>
              <w:t>By variables</w:t>
            </w:r>
          </w:p>
        </w:tc>
        <w:tc>
          <w:tcPr>
            <w:tcW w:w="7626" w:type="dxa"/>
            <w:shd w:val="clear" w:color="auto" w:fill="auto"/>
            <w:vAlign w:val="bottom"/>
          </w:tcPr>
          <w:p w14:paraId="2C42D301" w14:textId="25595A80" w:rsidR="00223369" w:rsidRDefault="00223369" w:rsidP="00223369">
            <w:pPr>
              <w:pStyle w:val="Header"/>
              <w:spacing w:before="60"/>
            </w:pPr>
            <w:r>
              <w:t>For single map analysis: By year (</w:t>
            </w:r>
            <w:r w:rsidR="00481942">
              <w:t>2018‒22</w:t>
            </w:r>
            <w:r>
              <w:t>), age group (</w:t>
            </w:r>
            <w:r w:rsidR="00481942">
              <w:t>0‒14</w:t>
            </w:r>
            <w:r>
              <w:t xml:space="preserve"> years, </w:t>
            </w:r>
            <w:r w:rsidR="00481942">
              <w:t>15‒24</w:t>
            </w:r>
            <w:r>
              <w:t xml:space="preserve"> years, </w:t>
            </w:r>
            <w:r w:rsidR="00481942">
              <w:t>25‒44</w:t>
            </w:r>
            <w:r>
              <w:t xml:space="preserve"> years, </w:t>
            </w:r>
            <w:r w:rsidR="00481942">
              <w:t>45‒64</w:t>
            </w:r>
            <w:r>
              <w:t xml:space="preserve"> years, </w:t>
            </w:r>
            <w:r w:rsidR="00481942">
              <w:t>65‒74</w:t>
            </w:r>
            <w:r>
              <w:t xml:space="preserve"> years and 75+ years), gender (female and male), ethnic group (Māori, Pacific peoples, Indian and </w:t>
            </w:r>
            <w:r w:rsidR="00481942">
              <w:t>European/other</w:t>
            </w:r>
            <w:r>
              <w:t>) and Health New Zealand district of domicile</w:t>
            </w:r>
            <w:r w:rsidR="009838A7">
              <w:t>.</w:t>
            </w:r>
            <w:r>
              <w:t xml:space="preserve"> </w:t>
            </w:r>
          </w:p>
          <w:p w14:paraId="48510AD3" w14:textId="74745CCF" w:rsidR="006B2F61" w:rsidRDefault="00223369" w:rsidP="00514EA6">
            <w:pPr>
              <w:spacing w:before="60"/>
            </w:pPr>
            <w:r>
              <w:t>For PHO analysis: By year (2022), age group (</w:t>
            </w:r>
            <w:r w:rsidR="00481942">
              <w:t>0‒14</w:t>
            </w:r>
            <w:r>
              <w:t xml:space="preserve"> years, </w:t>
            </w:r>
            <w:r w:rsidR="00481942">
              <w:t>15‒24</w:t>
            </w:r>
            <w:r>
              <w:t xml:space="preserve"> years, </w:t>
            </w:r>
            <w:r w:rsidR="00481942">
              <w:t>25‒44</w:t>
            </w:r>
            <w:r>
              <w:t xml:space="preserve"> years, </w:t>
            </w:r>
            <w:r w:rsidR="00481942">
              <w:t>45‒64</w:t>
            </w:r>
            <w:r>
              <w:t xml:space="preserve"> years, </w:t>
            </w:r>
            <w:r w:rsidR="00481942">
              <w:t>65‒74</w:t>
            </w:r>
            <w:r>
              <w:t xml:space="preserve"> years and 75+ years), gender (female and male), ethnic group (Māori, Pacific peoples, Indian and </w:t>
            </w:r>
            <w:r w:rsidR="00481942">
              <w:t>European/other</w:t>
            </w:r>
            <w:r>
              <w:t xml:space="preserve">), PHO most recently enrolled with (for the relevant year), PHO group (small, medium, </w:t>
            </w:r>
            <w:r w:rsidR="007E5C3B">
              <w:t>medium‒large</w:t>
            </w:r>
            <w:r>
              <w:t xml:space="preserve"> and large).</w:t>
            </w:r>
          </w:p>
        </w:tc>
      </w:tr>
      <w:tr w:rsidR="00F97060" w:rsidRPr="00D42C24" w14:paraId="0AAD0B8A" w14:textId="77777777" w:rsidTr="00FD11B2">
        <w:trPr>
          <w:trHeight w:val="327"/>
        </w:trPr>
        <w:tc>
          <w:tcPr>
            <w:tcW w:w="1696" w:type="dxa"/>
            <w:shd w:val="clear" w:color="auto" w:fill="auto"/>
          </w:tcPr>
          <w:p w14:paraId="0440DC96" w14:textId="1B626149" w:rsidR="00F97060" w:rsidRDefault="00F97060" w:rsidP="006B2F61">
            <w:pPr>
              <w:pStyle w:val="Header"/>
              <w:spacing w:before="60"/>
              <w:rPr>
                <w:rFonts w:cs="Arial"/>
                <w:szCs w:val="22"/>
              </w:rPr>
            </w:pPr>
            <w:r>
              <w:rPr>
                <w:rFonts w:cs="Arial"/>
                <w:szCs w:val="22"/>
              </w:rPr>
              <w:t>Rationale</w:t>
            </w:r>
          </w:p>
        </w:tc>
        <w:tc>
          <w:tcPr>
            <w:tcW w:w="7626" w:type="dxa"/>
            <w:shd w:val="clear" w:color="auto" w:fill="auto"/>
            <w:vAlign w:val="bottom"/>
          </w:tcPr>
          <w:p w14:paraId="475B0A75" w14:textId="1160C77C" w:rsidR="00F97060" w:rsidRDefault="00561684" w:rsidP="006B2F61">
            <w:pPr>
              <w:pStyle w:val="Header"/>
              <w:spacing w:before="60"/>
            </w:pPr>
            <w:r w:rsidRPr="00561684">
              <w:t>Studying the variation in the number and proportion of medical-surgical bed</w:t>
            </w:r>
            <w:r w:rsidR="00CB2A98">
              <w:t>-</w:t>
            </w:r>
            <w:r w:rsidRPr="00561684">
              <w:t>days in people with a diagnosis of diabetes compared to the total medical-surgical bed</w:t>
            </w:r>
            <w:r w:rsidR="00CB2A98">
              <w:t>-</w:t>
            </w:r>
            <w:r w:rsidRPr="00561684">
              <w:t xml:space="preserve">days is important for several reasons, as it provides valuable insights into the </w:t>
            </w:r>
            <w:r w:rsidR="003771E4">
              <w:t>health care</w:t>
            </w:r>
            <w:r w:rsidRPr="00561684">
              <w:t xml:space="preserve"> burden</w:t>
            </w:r>
            <w:r>
              <w:t xml:space="preserve">, health care planning, </w:t>
            </w:r>
            <w:r w:rsidRPr="00561684">
              <w:t>resource allocation</w:t>
            </w:r>
            <w:r>
              <w:t xml:space="preserve"> and quality improvement</w:t>
            </w:r>
            <w:r w:rsidRPr="00561684">
              <w:t>.</w:t>
            </w:r>
          </w:p>
        </w:tc>
      </w:tr>
      <w:tr w:rsidR="006B2F61" w:rsidRPr="00D42C24" w14:paraId="084C20F2" w14:textId="77777777" w:rsidTr="00FD11B2">
        <w:trPr>
          <w:trHeight w:val="327"/>
        </w:trPr>
        <w:tc>
          <w:tcPr>
            <w:tcW w:w="1696" w:type="dxa"/>
            <w:shd w:val="clear" w:color="auto" w:fill="auto"/>
          </w:tcPr>
          <w:p w14:paraId="14A23C58" w14:textId="2806760C" w:rsidR="006B2F61" w:rsidRDefault="006B2F61" w:rsidP="006B2F61">
            <w:pPr>
              <w:pStyle w:val="Header"/>
              <w:spacing w:before="60"/>
              <w:rPr>
                <w:rFonts w:cs="Arial"/>
                <w:szCs w:val="22"/>
              </w:rPr>
            </w:pPr>
            <w:r>
              <w:t>Commentary</w:t>
            </w:r>
          </w:p>
        </w:tc>
        <w:tc>
          <w:tcPr>
            <w:tcW w:w="7626" w:type="dxa"/>
            <w:shd w:val="clear" w:color="auto" w:fill="auto"/>
          </w:tcPr>
          <w:p w14:paraId="3B31F139" w14:textId="77777777" w:rsidR="00514EA6" w:rsidRPr="00FD6AEC" w:rsidRDefault="00514EA6" w:rsidP="00CB2060">
            <w:pPr>
              <w:spacing w:before="60"/>
              <w:rPr>
                <w:rFonts w:cs="Arial"/>
              </w:rPr>
            </w:pPr>
            <w:bookmarkStart w:id="5" w:name="_Hlk156899973"/>
            <w:r w:rsidRPr="00FD6AEC">
              <w:rPr>
                <w:rFonts w:cs="Arial"/>
              </w:rPr>
              <w:t>Description:</w:t>
            </w:r>
          </w:p>
          <w:p w14:paraId="05FFEDF4" w14:textId="2EC422EF" w:rsidR="00514EA6" w:rsidRPr="00FD6AEC" w:rsidRDefault="00514EA6" w:rsidP="00514EA6">
            <w:pPr>
              <w:rPr>
                <w:rFonts w:cs="Arial"/>
              </w:rPr>
            </w:pPr>
            <w:r w:rsidRPr="00FD6AEC">
              <w:rPr>
                <w:rFonts w:cs="Arial"/>
              </w:rPr>
              <w:t>This indicator shows the number and proportion of medical-surgical bed</w:t>
            </w:r>
            <w:r w:rsidR="00CB2A98">
              <w:rPr>
                <w:rFonts w:cs="Arial"/>
              </w:rPr>
              <w:t>-</w:t>
            </w:r>
            <w:r w:rsidRPr="00FD6AEC">
              <w:rPr>
                <w:rFonts w:cs="Arial"/>
              </w:rPr>
              <w:t>days in people with any diagnosis of diabetes compared to total medical-surgical bed</w:t>
            </w:r>
            <w:r w:rsidR="00CB2A98">
              <w:rPr>
                <w:rFonts w:cs="Arial"/>
              </w:rPr>
              <w:t>-</w:t>
            </w:r>
            <w:r w:rsidRPr="00FD6AEC">
              <w:rPr>
                <w:rFonts w:cs="Arial"/>
              </w:rPr>
              <w:t>days.</w:t>
            </w:r>
          </w:p>
          <w:p w14:paraId="46585FBD" w14:textId="77777777" w:rsidR="00514EA6" w:rsidRPr="00FD6AEC" w:rsidRDefault="00514EA6" w:rsidP="00CB2060">
            <w:pPr>
              <w:spacing w:before="240"/>
              <w:rPr>
                <w:rFonts w:cs="Arial"/>
              </w:rPr>
            </w:pPr>
            <w:r w:rsidRPr="00FD6AEC">
              <w:rPr>
                <w:rFonts w:cs="Arial"/>
              </w:rPr>
              <w:t xml:space="preserve">Note: </w:t>
            </w:r>
          </w:p>
          <w:p w14:paraId="475DB50B" w14:textId="357CFB39" w:rsidR="00514EA6" w:rsidRPr="00FD6AEC" w:rsidRDefault="00514EA6" w:rsidP="00514EA6">
            <w:pPr>
              <w:rPr>
                <w:rFonts w:cs="Arial"/>
              </w:rPr>
            </w:pPr>
            <w:r w:rsidRPr="00FD6AEC">
              <w:rPr>
                <w:rFonts w:cs="Arial"/>
              </w:rPr>
              <w:t>This indicator has been amended to include a filter that removes non-</w:t>
            </w:r>
            <w:r w:rsidR="00F850AA" w:rsidRPr="00FD6AEC">
              <w:rPr>
                <w:rFonts w:cs="Arial"/>
              </w:rPr>
              <w:t>case mix</w:t>
            </w:r>
            <w:r w:rsidRPr="00FD6AEC">
              <w:rPr>
                <w:rFonts w:cs="Arial"/>
              </w:rPr>
              <w:t xml:space="preserve"> events. This excludes some events that are included in NMDS such as mental health, rest-home hospital and events related to the health of older people. The exclusion of these events improves comparability between Health New Zealand districts. </w:t>
            </w:r>
          </w:p>
          <w:p w14:paraId="59CF7448" w14:textId="77777777" w:rsidR="00514EA6" w:rsidRPr="00FD6AEC" w:rsidRDefault="00514EA6" w:rsidP="00CB2060">
            <w:pPr>
              <w:spacing w:before="240"/>
              <w:rPr>
                <w:rFonts w:cs="Arial"/>
              </w:rPr>
            </w:pPr>
            <w:r w:rsidRPr="00FD6AEC">
              <w:rPr>
                <w:rFonts w:cs="Arial"/>
              </w:rPr>
              <w:t xml:space="preserve">Why is this important? </w:t>
            </w:r>
          </w:p>
          <w:p w14:paraId="06ACD82F" w14:textId="77777777" w:rsidR="00514EA6" w:rsidRPr="00FD6AEC" w:rsidRDefault="00514EA6" w:rsidP="00514EA6">
            <w:pPr>
              <w:rPr>
                <w:rFonts w:cs="Arial"/>
              </w:rPr>
            </w:pPr>
            <w:r w:rsidRPr="00FD6AEC">
              <w:rPr>
                <w:rFonts w:cs="Arial"/>
              </w:rPr>
              <w:t>This indicator highlights the effect diabetes in the community has on hospital bed utilisation rates.</w:t>
            </w:r>
          </w:p>
          <w:p w14:paraId="60CF2F78" w14:textId="77777777" w:rsidR="00514EA6" w:rsidRPr="00FD6AEC" w:rsidRDefault="00514EA6" w:rsidP="00CB2060">
            <w:pPr>
              <w:spacing w:before="240"/>
              <w:rPr>
                <w:rFonts w:cs="Arial"/>
              </w:rPr>
            </w:pPr>
            <w:r w:rsidRPr="00FD6AEC">
              <w:rPr>
                <w:rFonts w:cs="Arial"/>
              </w:rPr>
              <w:t xml:space="preserve">What questions does this prompt? </w:t>
            </w:r>
          </w:p>
          <w:p w14:paraId="075D0762" w14:textId="77777777" w:rsidR="00514EA6" w:rsidRPr="002D32A7" w:rsidRDefault="00514EA6" w:rsidP="002D32A7">
            <w:pPr>
              <w:numPr>
                <w:ilvl w:val="0"/>
                <w:numId w:val="4"/>
              </w:numPr>
              <w:rPr>
                <w:rFonts w:cs="Arial"/>
              </w:rPr>
            </w:pPr>
            <w:r w:rsidRPr="002D32A7">
              <w:rPr>
                <w:rFonts w:cs="Arial"/>
              </w:rPr>
              <w:t xml:space="preserve">What is the impact of co-morbidity on admissions in people aged 45 years and older? </w:t>
            </w:r>
          </w:p>
          <w:p w14:paraId="16F0E696" w14:textId="77777777" w:rsidR="00514EA6" w:rsidRPr="002D32A7" w:rsidRDefault="00514EA6" w:rsidP="002D32A7">
            <w:pPr>
              <w:numPr>
                <w:ilvl w:val="0"/>
                <w:numId w:val="4"/>
              </w:numPr>
              <w:rPr>
                <w:rFonts w:cs="Arial"/>
              </w:rPr>
            </w:pPr>
            <w:r w:rsidRPr="002D32A7">
              <w:rPr>
                <w:rFonts w:cs="Arial"/>
              </w:rPr>
              <w:t xml:space="preserve">Where rates are low, what might this be due to? </w:t>
            </w:r>
          </w:p>
          <w:p w14:paraId="32CAD3DF" w14:textId="77777777" w:rsidR="00514EA6" w:rsidRPr="002D32A7" w:rsidRDefault="00514EA6" w:rsidP="002D32A7">
            <w:pPr>
              <w:numPr>
                <w:ilvl w:val="0"/>
                <w:numId w:val="4"/>
              </w:numPr>
              <w:rPr>
                <w:rFonts w:cs="Arial"/>
              </w:rPr>
            </w:pPr>
            <w:r w:rsidRPr="002D32A7">
              <w:rPr>
                <w:rFonts w:cs="Arial"/>
              </w:rPr>
              <w:t xml:space="preserve">Where rates are high, what might this be due to? </w:t>
            </w:r>
          </w:p>
          <w:p w14:paraId="2A2EE183" w14:textId="77777777" w:rsidR="00514EA6" w:rsidRPr="002D32A7" w:rsidRDefault="00514EA6" w:rsidP="002D32A7">
            <w:pPr>
              <w:numPr>
                <w:ilvl w:val="0"/>
                <w:numId w:val="4"/>
              </w:numPr>
              <w:rPr>
                <w:rFonts w:cs="Arial"/>
              </w:rPr>
            </w:pPr>
            <w:r w:rsidRPr="002D32A7">
              <w:rPr>
                <w:rFonts w:cs="Arial"/>
              </w:rPr>
              <w:lastRenderedPageBreak/>
              <w:t xml:space="preserve">How do similar PHOs compare? </w:t>
            </w:r>
          </w:p>
          <w:p w14:paraId="638E2DB6" w14:textId="77777777" w:rsidR="00514EA6" w:rsidRPr="002D32A7" w:rsidRDefault="00514EA6" w:rsidP="002D32A7">
            <w:pPr>
              <w:numPr>
                <w:ilvl w:val="0"/>
                <w:numId w:val="4"/>
              </w:numPr>
              <w:rPr>
                <w:rFonts w:cs="Arial"/>
              </w:rPr>
            </w:pPr>
            <w:r w:rsidRPr="002D32A7">
              <w:rPr>
                <w:rFonts w:cs="Arial"/>
              </w:rPr>
              <w:t>How might high rates of admissions be affected by more intensive support for primary care management?</w:t>
            </w:r>
          </w:p>
          <w:p w14:paraId="2EF1AB7A" w14:textId="16BE8FBA" w:rsidR="006B2F61" w:rsidRPr="00561684" w:rsidRDefault="00514EA6" w:rsidP="002D32A7">
            <w:pPr>
              <w:numPr>
                <w:ilvl w:val="0"/>
                <w:numId w:val="4"/>
              </w:numPr>
              <w:spacing w:after="120"/>
            </w:pPr>
            <w:r w:rsidRPr="002D32A7">
              <w:rPr>
                <w:rFonts w:cs="Arial"/>
              </w:rPr>
              <w:t>How does bed</w:t>
            </w:r>
            <w:r w:rsidR="00CB2A98">
              <w:rPr>
                <w:rFonts w:cs="Arial"/>
              </w:rPr>
              <w:t>-</w:t>
            </w:r>
            <w:r w:rsidRPr="002D32A7">
              <w:rPr>
                <w:rFonts w:cs="Arial"/>
              </w:rPr>
              <w:t>days usage correlate with other indicators of diabetes care, such as HbA1c monitoring?</w:t>
            </w:r>
            <w:bookmarkEnd w:id="5"/>
          </w:p>
        </w:tc>
      </w:tr>
      <w:tr w:rsidR="006B2F61" w:rsidRPr="00D42C24" w14:paraId="112E6C16" w14:textId="77777777" w:rsidTr="00FD11B2">
        <w:trPr>
          <w:trHeight w:val="1408"/>
        </w:trPr>
        <w:tc>
          <w:tcPr>
            <w:tcW w:w="1696" w:type="dxa"/>
            <w:shd w:val="clear" w:color="auto" w:fill="auto"/>
          </w:tcPr>
          <w:p w14:paraId="292ED24A" w14:textId="5CF2B1E1" w:rsidR="006B2F61" w:rsidRDefault="006B2F61" w:rsidP="006B2F61">
            <w:pPr>
              <w:pStyle w:val="Header"/>
              <w:spacing w:before="60"/>
              <w:rPr>
                <w:rFonts w:cs="Arial"/>
                <w:szCs w:val="22"/>
              </w:rPr>
            </w:pPr>
            <w:r w:rsidRPr="00284528">
              <w:lastRenderedPageBreak/>
              <w:t>Comments</w:t>
            </w:r>
          </w:p>
        </w:tc>
        <w:tc>
          <w:tcPr>
            <w:tcW w:w="7626" w:type="dxa"/>
            <w:shd w:val="clear" w:color="auto" w:fill="auto"/>
          </w:tcPr>
          <w:p w14:paraId="056A4B23" w14:textId="77777777" w:rsidR="00514EA6" w:rsidRPr="00FD6AEC" w:rsidRDefault="00514EA6" w:rsidP="00514EA6">
            <w:pPr>
              <w:pStyle w:val="Header"/>
              <w:spacing w:before="60"/>
              <w:rPr>
                <w:rFonts w:cs="Arial"/>
              </w:rPr>
            </w:pPr>
            <w:r w:rsidRPr="00FD6AEC">
              <w:rPr>
                <w:rFonts w:cs="Arial"/>
              </w:rPr>
              <w:t>Health speciality code of Disability (D), Medical (M) and Surgical (S).</w:t>
            </w:r>
          </w:p>
          <w:p w14:paraId="69F743F7" w14:textId="7BAFAA7B" w:rsidR="006B2F61" w:rsidRDefault="006B2F61" w:rsidP="00141630">
            <w:pPr>
              <w:spacing w:before="240"/>
            </w:pPr>
            <w:r>
              <w:t>Note</w:t>
            </w:r>
            <w:r w:rsidR="00141630">
              <w:t>s</w:t>
            </w:r>
            <w:r>
              <w:t xml:space="preserve"> when interpreting this indicator:</w:t>
            </w:r>
          </w:p>
          <w:p w14:paraId="4DF755D6" w14:textId="7D6AB417" w:rsidR="006B2F61" w:rsidRDefault="00141630" w:rsidP="00B873EF">
            <w:pPr>
              <w:numPr>
                <w:ilvl w:val="0"/>
                <w:numId w:val="5"/>
              </w:numPr>
            </w:pPr>
            <w:r>
              <w:t>A</w:t>
            </w:r>
            <w:r w:rsidR="006B2F61">
              <w:t>dmissions in people with diabetes for any</w:t>
            </w:r>
            <w:r w:rsidR="00561684">
              <w:t xml:space="preserve"> </w:t>
            </w:r>
            <w:r w:rsidR="00B55C0D">
              <w:t xml:space="preserve">other </w:t>
            </w:r>
            <w:r w:rsidR="006B2F61">
              <w:t>reason are included. Some admissions may be completely unrelated to their diabetes</w:t>
            </w:r>
            <w:r>
              <w:t>.</w:t>
            </w:r>
          </w:p>
          <w:p w14:paraId="2C408161" w14:textId="55B9C07D" w:rsidR="00141F0E" w:rsidRDefault="00141630" w:rsidP="00B873EF">
            <w:pPr>
              <w:numPr>
                <w:ilvl w:val="0"/>
                <w:numId w:val="5"/>
              </w:numPr>
            </w:pPr>
            <w:r>
              <w:t>T</w:t>
            </w:r>
            <w:r w:rsidR="006B2F61">
              <w:t xml:space="preserve">his indicator is dependent on </w:t>
            </w:r>
            <w:r w:rsidR="001D4DF9">
              <w:t xml:space="preserve">two </w:t>
            </w:r>
            <w:r w:rsidR="006B2F61">
              <w:t>factors</w:t>
            </w:r>
            <w:r>
              <w:t>:</w:t>
            </w:r>
            <w:r w:rsidR="006B2F61">
              <w:t xml:space="preserve"> the underlying prevalence of diabetes and the frequency of medical-surgical bed-day use of people with diabetes compared with the general population by different age groups. </w:t>
            </w:r>
          </w:p>
          <w:p w14:paraId="04461F61" w14:textId="41B02DB8" w:rsidR="006B2F61" w:rsidRPr="00141F0E" w:rsidRDefault="00141F0E" w:rsidP="00B873EF">
            <w:pPr>
              <w:numPr>
                <w:ilvl w:val="0"/>
                <w:numId w:val="5"/>
              </w:numPr>
              <w:spacing w:after="120"/>
            </w:pPr>
            <w:r>
              <w:t>T</w:t>
            </w:r>
            <w:r w:rsidR="006B2F61">
              <w:t>his effect of age could be addressed by age standardisation. In the Atlas, it is possible to stratify by age, so the effect on bed occupancy can be examined.</w:t>
            </w:r>
          </w:p>
        </w:tc>
      </w:tr>
    </w:tbl>
    <w:p w14:paraId="60458478" w14:textId="77777777" w:rsidR="0000087A" w:rsidRDefault="0000087A" w:rsidP="0000087A">
      <w:pPr>
        <w:rPr>
          <w:rFonts w:cs="Arial"/>
          <w:szCs w:val="22"/>
        </w:rPr>
      </w:pPr>
    </w:p>
    <w:p w14:paraId="694656A7" w14:textId="521A4F2E" w:rsidR="00C63655" w:rsidRDefault="00C63655" w:rsidP="009940DB">
      <w:pPr>
        <w:pStyle w:val="Heading3"/>
        <w:rPr>
          <w:szCs w:val="22"/>
        </w:rPr>
      </w:pPr>
      <w:bookmarkStart w:id="6" w:name="app1"/>
      <w:bookmarkEnd w:id="6"/>
      <w:r>
        <w:rPr>
          <w:szCs w:val="22"/>
        </w:rPr>
        <w:t>References</w:t>
      </w:r>
    </w:p>
    <w:sdt>
      <w:sdtPr>
        <w:tag w:val="MENDELEY_BIBLIOGRAPHY"/>
        <w:id w:val="-37666543"/>
        <w:placeholder>
          <w:docPart w:val="DefaultPlaceholder_-1854013440"/>
        </w:placeholder>
      </w:sdtPr>
      <w:sdtEndPr/>
      <w:sdtContent>
        <w:p w14:paraId="633C887D" w14:textId="2958EFBB" w:rsidR="002D112B" w:rsidRDefault="002D112B">
          <w:pPr>
            <w:autoSpaceDE w:val="0"/>
            <w:autoSpaceDN w:val="0"/>
            <w:ind w:hanging="480"/>
            <w:divId w:val="1875771881"/>
            <w:rPr>
              <w:sz w:val="24"/>
              <w:szCs w:val="24"/>
            </w:rPr>
          </w:pPr>
          <w:r>
            <w:t xml:space="preserve">Coppell KJ, Mann JI, Williams SM, </w:t>
          </w:r>
          <w:r w:rsidR="00202D6D">
            <w:t>et al</w:t>
          </w:r>
          <w:r>
            <w:t xml:space="preserve">. 2013. Prevalence of diagnosed and undiagnosed diabetes and prediabetes in New Zealand: Findings from the 2008/09 adult nutrition survey. </w:t>
          </w:r>
          <w:r>
            <w:rPr>
              <w:i/>
              <w:iCs/>
            </w:rPr>
            <w:t>New Zealand Medical Journal</w:t>
          </w:r>
          <w:r>
            <w:t xml:space="preserve"> </w:t>
          </w:r>
          <w:r w:rsidRPr="004653E9">
            <w:t>126</w:t>
          </w:r>
          <w:r>
            <w:t>(1370).</w:t>
          </w:r>
        </w:p>
        <w:p w14:paraId="244D1827" w14:textId="3ABEE78B" w:rsidR="002D112B" w:rsidRDefault="002D112B">
          <w:pPr>
            <w:autoSpaceDE w:val="0"/>
            <w:autoSpaceDN w:val="0"/>
            <w:ind w:hanging="480"/>
            <w:divId w:val="1567111855"/>
          </w:pPr>
          <w:r>
            <w:t xml:space="preserve">Ministry of Health. 2017. </w:t>
          </w:r>
          <w:r>
            <w:rPr>
              <w:i/>
              <w:iCs/>
            </w:rPr>
            <w:t>HISO 10001:2017 Ethnicity Data Protocols</w:t>
          </w:r>
          <w:r>
            <w:t>. Wellington: Ministry of Health</w:t>
          </w:r>
          <w:r w:rsidR="00B23182">
            <w:t>.</w:t>
          </w:r>
        </w:p>
        <w:p w14:paraId="3CA4437F" w14:textId="64DCDBFC" w:rsidR="002D112B" w:rsidRDefault="002D112B">
          <w:pPr>
            <w:autoSpaceDE w:val="0"/>
            <w:autoSpaceDN w:val="0"/>
            <w:ind w:hanging="480"/>
            <w:divId w:val="1524049678"/>
          </w:pPr>
          <w:proofErr w:type="spellStart"/>
          <w:r>
            <w:t>Sjardin</w:t>
          </w:r>
          <w:proofErr w:type="spellEnd"/>
          <w:r>
            <w:t xml:space="preserve"> N, Reed P, Albert B, </w:t>
          </w:r>
          <w:r w:rsidR="00B23182">
            <w:t>et al</w:t>
          </w:r>
          <w:r>
            <w:t xml:space="preserve">. 2018. Increasing incidence of type 2 diabetes in New Zealand children &lt;15 years of age in a regional-based diabetes service, Auckland, New Zealand. </w:t>
          </w:r>
          <w:r>
            <w:rPr>
              <w:i/>
              <w:iCs/>
            </w:rPr>
            <w:t>Journal of Paediatrics and Child Health</w:t>
          </w:r>
          <w:r>
            <w:t xml:space="preserve"> </w:t>
          </w:r>
          <w:r w:rsidRPr="004653E9">
            <w:t>54</w:t>
          </w:r>
          <w:r>
            <w:t>(9).</w:t>
          </w:r>
          <w:r w:rsidR="00B23182">
            <w:t xml:space="preserve"> URL: </w:t>
          </w:r>
          <w:hyperlink r:id="rId16" w:history="1">
            <w:r w:rsidR="00B23182" w:rsidRPr="00EA74F9">
              <w:rPr>
                <w:rStyle w:val="Hyperlink"/>
              </w:rPr>
              <w:t>https://doi.org/10.1111/jpc.13924</w:t>
            </w:r>
          </w:hyperlink>
          <w:r w:rsidR="00B23182">
            <w:t xml:space="preserve">. </w:t>
          </w:r>
        </w:p>
        <w:p w14:paraId="04BE22E0" w14:textId="573209C0" w:rsidR="002D112B" w:rsidRDefault="001741EB">
          <w:pPr>
            <w:autoSpaceDE w:val="0"/>
            <w:autoSpaceDN w:val="0"/>
            <w:ind w:hanging="480"/>
            <w:divId w:val="1461341405"/>
          </w:pPr>
          <w:r>
            <w:t>Health New Zealand</w:t>
          </w:r>
          <w:r w:rsidR="004653E9">
            <w:t xml:space="preserve"> </w:t>
          </w:r>
          <w:r w:rsidR="004653E9">
            <w:rPr>
              <w:rFonts w:cs="Arial"/>
            </w:rPr>
            <w:t xml:space="preserve">‒ </w:t>
          </w:r>
          <w:r w:rsidR="004653E9">
            <w:t xml:space="preserve">Te </w:t>
          </w:r>
          <w:proofErr w:type="spellStart"/>
          <w:r w:rsidR="004653E9">
            <w:t>Whatu</w:t>
          </w:r>
          <w:proofErr w:type="spellEnd"/>
          <w:r w:rsidR="004653E9">
            <w:t xml:space="preserve"> Ora</w:t>
          </w:r>
          <w:r w:rsidR="004653E9">
            <w:rPr>
              <w:rFonts w:cs="Arial"/>
            </w:rPr>
            <w:t>‒</w:t>
          </w:r>
          <w:r w:rsidR="002D112B">
            <w:t xml:space="preserve">. 2023. </w:t>
          </w:r>
          <w:r w:rsidR="002D112B">
            <w:rPr>
              <w:i/>
              <w:iCs/>
            </w:rPr>
            <w:t>Key findings from the 2021 Virtual Diabetes Register</w:t>
          </w:r>
          <w:r w:rsidR="002D112B">
            <w:t xml:space="preserve">. </w:t>
          </w:r>
          <w:r w:rsidR="00B23182">
            <w:t xml:space="preserve">Wellington: </w:t>
          </w:r>
          <w:r w:rsidR="004653E9">
            <w:t>Health New Zealand</w:t>
          </w:r>
          <w:r w:rsidR="00B23182">
            <w:t xml:space="preserve">. URL: </w:t>
          </w:r>
          <w:hyperlink r:id="rId17" w:anchor="key-findings-from-the-2021-virtual-diabetes-register" w:history="1">
            <w:r w:rsidR="00B23182" w:rsidRPr="00EA74F9">
              <w:rPr>
                <w:rStyle w:val="Hyperlink"/>
              </w:rPr>
              <w:t>www.tewhatuora.govt.nz/our-health-system/data-and-statistics/virtual-diabetes-tool/#key-findings-from-the-2021-virtual-diabetes-register</w:t>
            </w:r>
          </w:hyperlink>
          <w:r w:rsidR="00B23182">
            <w:t xml:space="preserve">. </w:t>
          </w:r>
        </w:p>
        <w:p w14:paraId="6C63DA3D" w14:textId="4547E2A2" w:rsidR="00C63655" w:rsidRPr="00C63655" w:rsidRDefault="00BC0449" w:rsidP="00C63655"/>
      </w:sdtContent>
    </w:sdt>
    <w:p w14:paraId="0808DE96" w14:textId="77777777" w:rsidR="006808EE" w:rsidRDefault="006808EE">
      <w:pPr>
        <w:spacing w:after="0" w:line="240" w:lineRule="auto"/>
        <w:rPr>
          <w:rFonts w:cs="Arial"/>
          <w:b/>
          <w:bCs/>
          <w:sz w:val="26"/>
          <w:szCs w:val="22"/>
        </w:rPr>
      </w:pPr>
      <w:r>
        <w:rPr>
          <w:szCs w:val="22"/>
        </w:rPr>
        <w:br w:type="page"/>
      </w:r>
    </w:p>
    <w:p w14:paraId="790E6C06" w14:textId="54CE43B8" w:rsidR="009940DB" w:rsidRPr="009940DB" w:rsidRDefault="00564994" w:rsidP="009940DB">
      <w:pPr>
        <w:pStyle w:val="Heading3"/>
        <w:rPr>
          <w:rFonts w:ascii="Calibri Light" w:hAnsi="Calibri Light"/>
          <w:sz w:val="52"/>
          <w:lang w:eastAsia="en-US"/>
        </w:rPr>
      </w:pPr>
      <w:r w:rsidRPr="00564994">
        <w:rPr>
          <w:szCs w:val="22"/>
        </w:rPr>
        <w:lastRenderedPageBreak/>
        <w:t xml:space="preserve">Appendix 1: </w:t>
      </w:r>
      <w:bookmarkStart w:id="7" w:name="_Appendix_1:_Responses"/>
      <w:bookmarkEnd w:id="7"/>
      <w:r w:rsidR="009940DB">
        <w:t>Detailed information on VDR methodology (December 202</w:t>
      </w:r>
      <w:r w:rsidR="00CE0CEE">
        <w:t>2)</w:t>
      </w:r>
    </w:p>
    <w:p w14:paraId="3B5715AE" w14:textId="77777777" w:rsidR="00514EA6" w:rsidRPr="00514EA6" w:rsidRDefault="00514EA6" w:rsidP="00514EA6">
      <w:pPr>
        <w:rPr>
          <w:rFonts w:cs="Arial"/>
          <w:color w:val="000000"/>
        </w:rPr>
      </w:pPr>
      <w:r w:rsidRPr="00514EA6">
        <w:rPr>
          <w:rFonts w:cs="Arial"/>
          <w:color w:val="000000"/>
        </w:rPr>
        <w:t>The VDR counts individuals who had any of the following.</w:t>
      </w:r>
    </w:p>
    <w:p w14:paraId="49251E38" w14:textId="637F4204" w:rsidR="00514EA6" w:rsidRPr="008F624C" w:rsidRDefault="00514EA6" w:rsidP="009C2438">
      <w:pPr>
        <w:pStyle w:val="ListParagraph"/>
        <w:numPr>
          <w:ilvl w:val="0"/>
          <w:numId w:val="13"/>
        </w:numPr>
        <w:spacing w:before="100" w:beforeAutospacing="1" w:after="120"/>
        <w:ind w:left="360"/>
        <w:rPr>
          <w:color w:val="000000"/>
        </w:rPr>
      </w:pPr>
      <w:r w:rsidRPr="008F624C">
        <w:rPr>
          <w:color w:val="000000"/>
        </w:rPr>
        <w:t>Publicly funded hospital discharges between 2013 and 2022, with any of the following diagnosis codes (ICD-10-AM version 6):</w:t>
      </w:r>
    </w:p>
    <w:p w14:paraId="30051A5E" w14:textId="77777777" w:rsidR="00514EA6" w:rsidRPr="00514EA6" w:rsidRDefault="00514EA6" w:rsidP="00514EA6">
      <w:pPr>
        <w:numPr>
          <w:ilvl w:val="0"/>
          <w:numId w:val="8"/>
        </w:numPr>
        <w:rPr>
          <w:rFonts w:cs="Arial"/>
          <w:color w:val="000000"/>
        </w:rPr>
      </w:pPr>
      <w:r w:rsidRPr="00514EA6">
        <w:rPr>
          <w:rFonts w:cs="Arial"/>
          <w:color w:val="000000"/>
        </w:rPr>
        <w:t>E10 – Type 1 diabetes mellitus</w:t>
      </w:r>
    </w:p>
    <w:p w14:paraId="4ED161B0" w14:textId="77777777" w:rsidR="00514EA6" w:rsidRPr="00514EA6" w:rsidRDefault="00514EA6" w:rsidP="00514EA6">
      <w:pPr>
        <w:numPr>
          <w:ilvl w:val="0"/>
          <w:numId w:val="8"/>
        </w:numPr>
        <w:rPr>
          <w:rFonts w:cs="Arial"/>
          <w:color w:val="000000"/>
        </w:rPr>
      </w:pPr>
      <w:r w:rsidRPr="00514EA6">
        <w:rPr>
          <w:rFonts w:cs="Arial"/>
          <w:color w:val="000000"/>
        </w:rPr>
        <w:t>E11 – Type 2 diabetes mellitus</w:t>
      </w:r>
    </w:p>
    <w:p w14:paraId="519D7919" w14:textId="77777777" w:rsidR="00514EA6" w:rsidRPr="00514EA6" w:rsidRDefault="00514EA6" w:rsidP="00514EA6">
      <w:pPr>
        <w:numPr>
          <w:ilvl w:val="0"/>
          <w:numId w:val="8"/>
        </w:numPr>
        <w:rPr>
          <w:rFonts w:cs="Arial"/>
          <w:color w:val="000000"/>
        </w:rPr>
      </w:pPr>
      <w:r w:rsidRPr="00514EA6">
        <w:rPr>
          <w:rFonts w:cs="Arial"/>
          <w:color w:val="000000"/>
        </w:rPr>
        <w:t>E12 – Malnutrition-related diabetes mellitus</w:t>
      </w:r>
    </w:p>
    <w:p w14:paraId="213B9DF5" w14:textId="77777777" w:rsidR="00514EA6" w:rsidRPr="00514EA6" w:rsidRDefault="00514EA6" w:rsidP="00514EA6">
      <w:pPr>
        <w:numPr>
          <w:ilvl w:val="0"/>
          <w:numId w:val="8"/>
        </w:numPr>
        <w:rPr>
          <w:rFonts w:cs="Arial"/>
          <w:color w:val="000000"/>
        </w:rPr>
      </w:pPr>
      <w:r w:rsidRPr="00514EA6">
        <w:rPr>
          <w:rFonts w:cs="Arial"/>
          <w:color w:val="000000"/>
        </w:rPr>
        <w:t>E13 – Other specified diabetes mellitus</w:t>
      </w:r>
    </w:p>
    <w:p w14:paraId="07278CBC" w14:textId="77777777" w:rsidR="00514EA6" w:rsidRPr="00514EA6" w:rsidRDefault="00514EA6" w:rsidP="00514EA6">
      <w:pPr>
        <w:numPr>
          <w:ilvl w:val="0"/>
          <w:numId w:val="8"/>
        </w:numPr>
        <w:rPr>
          <w:rFonts w:cs="Arial"/>
          <w:color w:val="000000"/>
        </w:rPr>
      </w:pPr>
      <w:r w:rsidRPr="00514EA6">
        <w:rPr>
          <w:rFonts w:cs="Arial"/>
          <w:color w:val="000000"/>
        </w:rPr>
        <w:t>E14 – Unspecified diabetes mellitus</w:t>
      </w:r>
    </w:p>
    <w:p w14:paraId="134EBBC7" w14:textId="77777777" w:rsidR="00514EA6" w:rsidRPr="00514EA6" w:rsidRDefault="00514EA6" w:rsidP="00514EA6">
      <w:pPr>
        <w:numPr>
          <w:ilvl w:val="0"/>
          <w:numId w:val="8"/>
        </w:numPr>
        <w:rPr>
          <w:rFonts w:cs="Arial"/>
          <w:color w:val="000000"/>
        </w:rPr>
      </w:pPr>
      <w:r w:rsidRPr="00514EA6">
        <w:rPr>
          <w:rFonts w:cs="Arial"/>
          <w:color w:val="000000"/>
        </w:rPr>
        <w:t>O240 – Pre-existing diabetes mellitus, Type 1, in pregnancy</w:t>
      </w:r>
    </w:p>
    <w:p w14:paraId="4E866C9A" w14:textId="77777777" w:rsidR="00514EA6" w:rsidRPr="00514EA6" w:rsidRDefault="00514EA6" w:rsidP="00514EA6">
      <w:pPr>
        <w:numPr>
          <w:ilvl w:val="0"/>
          <w:numId w:val="8"/>
        </w:numPr>
        <w:rPr>
          <w:rFonts w:cs="Arial"/>
          <w:color w:val="000000"/>
        </w:rPr>
      </w:pPr>
      <w:r w:rsidRPr="00514EA6">
        <w:rPr>
          <w:rFonts w:cs="Arial"/>
          <w:color w:val="000000"/>
        </w:rPr>
        <w:t>O241 – Pre-existing diabetes mellitus, Type 2, in pregnancy</w:t>
      </w:r>
    </w:p>
    <w:p w14:paraId="16012956" w14:textId="77777777" w:rsidR="00514EA6" w:rsidRPr="00514EA6" w:rsidRDefault="00514EA6" w:rsidP="00514EA6">
      <w:pPr>
        <w:numPr>
          <w:ilvl w:val="0"/>
          <w:numId w:val="8"/>
        </w:numPr>
        <w:rPr>
          <w:rFonts w:cs="Arial"/>
          <w:color w:val="000000"/>
        </w:rPr>
      </w:pPr>
      <w:r w:rsidRPr="00514EA6">
        <w:rPr>
          <w:rFonts w:cs="Arial"/>
          <w:color w:val="000000"/>
        </w:rPr>
        <w:t>O242 – Pre-existing diabetes mellitus, other specified type, in pregnancy</w:t>
      </w:r>
    </w:p>
    <w:p w14:paraId="459B9678" w14:textId="77777777" w:rsidR="00514EA6" w:rsidRPr="00514EA6" w:rsidRDefault="00514EA6" w:rsidP="00514EA6">
      <w:pPr>
        <w:numPr>
          <w:ilvl w:val="0"/>
          <w:numId w:val="8"/>
        </w:numPr>
        <w:rPr>
          <w:rFonts w:cs="Arial"/>
          <w:color w:val="000000"/>
        </w:rPr>
      </w:pPr>
      <w:r w:rsidRPr="00514EA6">
        <w:rPr>
          <w:rFonts w:cs="Arial"/>
          <w:color w:val="000000"/>
        </w:rPr>
        <w:t>O243 – Pre-existing diabetes mellitus, unspecified, in pregnancy</w:t>
      </w:r>
    </w:p>
    <w:p w14:paraId="7CE84558" w14:textId="77777777" w:rsidR="00514EA6" w:rsidRPr="00514EA6" w:rsidRDefault="00514EA6" w:rsidP="0060331C">
      <w:pPr>
        <w:spacing w:before="120" w:after="120"/>
        <w:ind w:left="340"/>
        <w:rPr>
          <w:rFonts w:cs="Arial"/>
          <w:color w:val="000000"/>
        </w:rPr>
      </w:pPr>
      <w:r w:rsidRPr="00514EA6">
        <w:rPr>
          <w:rFonts w:cs="Arial"/>
          <w:color w:val="000000"/>
        </w:rPr>
        <w:t>Note: Admissions with a code for gestational diabetes are not included.</w:t>
      </w:r>
    </w:p>
    <w:p w14:paraId="545D6E77" w14:textId="3226FCCE" w:rsidR="00514EA6" w:rsidRPr="008F624C" w:rsidRDefault="00514EA6" w:rsidP="0060331C">
      <w:pPr>
        <w:pStyle w:val="ListParagraph"/>
        <w:numPr>
          <w:ilvl w:val="0"/>
          <w:numId w:val="13"/>
        </w:numPr>
        <w:spacing w:after="120"/>
        <w:ind w:left="357" w:hanging="357"/>
        <w:contextualSpacing w:val="0"/>
        <w:rPr>
          <w:color w:val="000000"/>
        </w:rPr>
      </w:pPr>
      <w:r w:rsidRPr="008F624C">
        <w:rPr>
          <w:color w:val="000000"/>
        </w:rPr>
        <w:t>Diabetes ‘education and management’ (purchase unit code of M20006) or diabetes retinal (fundus) screening (purchase unit code of M20007) within the outpatient collection (NNPAC) between 2020 and 2022.</w:t>
      </w:r>
    </w:p>
    <w:p w14:paraId="1C493FFE" w14:textId="7BAAA9F3" w:rsidR="00514EA6" w:rsidRPr="008F624C" w:rsidRDefault="00514EA6" w:rsidP="00AF40C2">
      <w:pPr>
        <w:pStyle w:val="ListParagraph"/>
        <w:numPr>
          <w:ilvl w:val="0"/>
          <w:numId w:val="13"/>
        </w:numPr>
        <w:spacing w:after="120"/>
        <w:ind w:left="360"/>
        <w:rPr>
          <w:color w:val="000000"/>
        </w:rPr>
      </w:pPr>
      <w:r w:rsidRPr="008F624C">
        <w:rPr>
          <w:color w:val="000000"/>
        </w:rPr>
        <w:t>Publicly funded pharmaceuticals dispensed within the community on two or more occasions between 2021 and 2022. Pharmaceuticals with the following chemical IDs are included:</w:t>
      </w:r>
    </w:p>
    <w:p w14:paraId="4128A626" w14:textId="5A3D3817" w:rsidR="00514EA6" w:rsidRPr="00514EA6" w:rsidRDefault="00514EA6" w:rsidP="008F624C">
      <w:pPr>
        <w:numPr>
          <w:ilvl w:val="0"/>
          <w:numId w:val="7"/>
        </w:numPr>
        <w:ind w:left="700"/>
        <w:rPr>
          <w:rFonts w:cs="Arial"/>
          <w:color w:val="000000"/>
        </w:rPr>
      </w:pPr>
      <w:r w:rsidRPr="00514EA6">
        <w:rPr>
          <w:rFonts w:cs="Arial"/>
          <w:color w:val="000000"/>
        </w:rPr>
        <w:t xml:space="preserve">1192 </w:t>
      </w:r>
      <w:r w:rsidR="00C25469">
        <w:rPr>
          <w:rFonts w:cs="Arial"/>
          <w:color w:val="000000"/>
        </w:rPr>
        <w:t>i</w:t>
      </w:r>
      <w:r w:rsidRPr="00514EA6">
        <w:rPr>
          <w:rFonts w:cs="Arial"/>
          <w:color w:val="000000"/>
        </w:rPr>
        <w:t>nsulin lispro</w:t>
      </w:r>
    </w:p>
    <w:p w14:paraId="4F7AE675" w14:textId="30016037" w:rsidR="00514EA6" w:rsidRPr="00514EA6" w:rsidRDefault="00514EA6" w:rsidP="008F624C">
      <w:pPr>
        <w:numPr>
          <w:ilvl w:val="0"/>
          <w:numId w:val="7"/>
        </w:numPr>
        <w:ind w:left="700"/>
        <w:rPr>
          <w:rFonts w:cs="Arial"/>
          <w:color w:val="000000"/>
        </w:rPr>
      </w:pPr>
      <w:r w:rsidRPr="00514EA6">
        <w:rPr>
          <w:rFonts w:cs="Arial"/>
          <w:color w:val="000000"/>
        </w:rPr>
        <w:t xml:space="preserve">1247 </w:t>
      </w:r>
      <w:r w:rsidR="00C25469">
        <w:rPr>
          <w:rFonts w:cs="Arial"/>
          <w:color w:val="000000"/>
        </w:rPr>
        <w:t>a</w:t>
      </w:r>
      <w:r w:rsidRPr="00514EA6">
        <w:rPr>
          <w:rFonts w:cs="Arial"/>
          <w:color w:val="000000"/>
        </w:rPr>
        <w:t>carbose</w:t>
      </w:r>
    </w:p>
    <w:p w14:paraId="38E7EA80" w14:textId="681D05FE" w:rsidR="00514EA6" w:rsidRPr="00514EA6" w:rsidRDefault="00514EA6" w:rsidP="008F624C">
      <w:pPr>
        <w:numPr>
          <w:ilvl w:val="0"/>
          <w:numId w:val="7"/>
        </w:numPr>
        <w:ind w:left="700"/>
        <w:rPr>
          <w:rFonts w:cs="Arial"/>
          <w:color w:val="000000"/>
        </w:rPr>
      </w:pPr>
      <w:r w:rsidRPr="00514EA6">
        <w:rPr>
          <w:rFonts w:cs="Arial"/>
          <w:color w:val="000000"/>
        </w:rPr>
        <w:t xml:space="preserve">1567 </w:t>
      </w:r>
      <w:r w:rsidR="00C25469">
        <w:rPr>
          <w:rFonts w:cs="Arial"/>
          <w:color w:val="000000"/>
        </w:rPr>
        <w:t>g</w:t>
      </w:r>
      <w:r w:rsidRPr="00514EA6">
        <w:rPr>
          <w:rFonts w:cs="Arial"/>
          <w:color w:val="000000"/>
        </w:rPr>
        <w:t>libenclamide</w:t>
      </w:r>
    </w:p>
    <w:p w14:paraId="341BFBBB" w14:textId="76A5A114" w:rsidR="00514EA6" w:rsidRPr="00514EA6" w:rsidRDefault="00514EA6" w:rsidP="008F624C">
      <w:pPr>
        <w:numPr>
          <w:ilvl w:val="0"/>
          <w:numId w:val="7"/>
        </w:numPr>
        <w:ind w:left="700"/>
        <w:rPr>
          <w:rFonts w:cs="Arial"/>
          <w:color w:val="000000"/>
        </w:rPr>
      </w:pPr>
      <w:r w:rsidRPr="00514EA6">
        <w:rPr>
          <w:rFonts w:cs="Arial"/>
          <w:color w:val="000000"/>
        </w:rPr>
        <w:t xml:space="preserve">1568 </w:t>
      </w:r>
      <w:r w:rsidR="00C25469">
        <w:rPr>
          <w:rFonts w:cs="Arial"/>
          <w:color w:val="000000"/>
        </w:rPr>
        <w:t>g</w:t>
      </w:r>
      <w:r w:rsidRPr="00514EA6">
        <w:rPr>
          <w:rFonts w:cs="Arial"/>
          <w:color w:val="000000"/>
        </w:rPr>
        <w:t>liclazide</w:t>
      </w:r>
    </w:p>
    <w:p w14:paraId="3094F67F" w14:textId="5B0D833E" w:rsidR="00514EA6" w:rsidRPr="00514EA6" w:rsidRDefault="00514EA6" w:rsidP="008F624C">
      <w:pPr>
        <w:numPr>
          <w:ilvl w:val="0"/>
          <w:numId w:val="7"/>
        </w:numPr>
        <w:ind w:left="700"/>
        <w:rPr>
          <w:rFonts w:cs="Arial"/>
          <w:color w:val="000000"/>
        </w:rPr>
      </w:pPr>
      <w:r w:rsidRPr="00514EA6">
        <w:rPr>
          <w:rFonts w:cs="Arial"/>
          <w:color w:val="000000"/>
        </w:rPr>
        <w:t xml:space="preserve">1569 </w:t>
      </w:r>
      <w:r w:rsidR="00C25469">
        <w:rPr>
          <w:rFonts w:cs="Arial"/>
          <w:color w:val="000000"/>
        </w:rPr>
        <w:t>g</w:t>
      </w:r>
      <w:r w:rsidRPr="00514EA6">
        <w:rPr>
          <w:rFonts w:cs="Arial"/>
          <w:color w:val="000000"/>
        </w:rPr>
        <w:t>lipizide</w:t>
      </w:r>
    </w:p>
    <w:p w14:paraId="5DC13D80" w14:textId="6FAB5223" w:rsidR="00514EA6" w:rsidRPr="00514EA6" w:rsidRDefault="00514EA6" w:rsidP="008F624C">
      <w:pPr>
        <w:numPr>
          <w:ilvl w:val="0"/>
          <w:numId w:val="7"/>
        </w:numPr>
        <w:ind w:left="700"/>
        <w:rPr>
          <w:rFonts w:cs="Arial"/>
          <w:color w:val="000000"/>
        </w:rPr>
      </w:pPr>
      <w:r w:rsidRPr="00514EA6">
        <w:rPr>
          <w:rFonts w:cs="Arial"/>
          <w:color w:val="000000"/>
        </w:rPr>
        <w:t xml:space="preserve">1570 </w:t>
      </w:r>
      <w:r w:rsidR="00C25469">
        <w:rPr>
          <w:rFonts w:cs="Arial"/>
          <w:color w:val="000000"/>
        </w:rPr>
        <w:t>g</w:t>
      </w:r>
      <w:r w:rsidRPr="00514EA6">
        <w:rPr>
          <w:rFonts w:cs="Arial"/>
          <w:color w:val="000000"/>
        </w:rPr>
        <w:t>lucagon hydrochloride</w:t>
      </w:r>
    </w:p>
    <w:p w14:paraId="59614FC2" w14:textId="798879C7" w:rsidR="00514EA6" w:rsidRPr="00514EA6" w:rsidRDefault="00514EA6" w:rsidP="008F624C">
      <w:pPr>
        <w:numPr>
          <w:ilvl w:val="0"/>
          <w:numId w:val="7"/>
        </w:numPr>
        <w:ind w:left="700"/>
        <w:rPr>
          <w:rFonts w:cs="Arial"/>
          <w:color w:val="000000"/>
        </w:rPr>
      </w:pPr>
      <w:r w:rsidRPr="00514EA6">
        <w:rPr>
          <w:rFonts w:cs="Arial"/>
          <w:color w:val="000000"/>
        </w:rPr>
        <w:t xml:space="preserve">1648 </w:t>
      </w:r>
      <w:r w:rsidR="00C25469">
        <w:rPr>
          <w:rFonts w:cs="Arial"/>
          <w:color w:val="000000"/>
        </w:rPr>
        <w:t>i</w:t>
      </w:r>
      <w:r w:rsidRPr="00514EA6">
        <w:rPr>
          <w:rFonts w:cs="Arial"/>
          <w:color w:val="000000"/>
        </w:rPr>
        <w:t>nsulin neutral</w:t>
      </w:r>
    </w:p>
    <w:p w14:paraId="053DB3C6" w14:textId="48565078" w:rsidR="00514EA6" w:rsidRPr="00514EA6" w:rsidRDefault="00514EA6" w:rsidP="008F624C">
      <w:pPr>
        <w:numPr>
          <w:ilvl w:val="0"/>
          <w:numId w:val="7"/>
        </w:numPr>
        <w:ind w:left="700"/>
        <w:rPr>
          <w:rFonts w:cs="Arial"/>
          <w:color w:val="000000"/>
        </w:rPr>
      </w:pPr>
      <w:r w:rsidRPr="00514EA6">
        <w:rPr>
          <w:rFonts w:cs="Arial"/>
          <w:color w:val="000000"/>
        </w:rPr>
        <w:t xml:space="preserve">1649 </w:t>
      </w:r>
      <w:r w:rsidR="00C25469">
        <w:rPr>
          <w:rFonts w:cs="Arial"/>
          <w:color w:val="000000"/>
        </w:rPr>
        <w:t>i</w:t>
      </w:r>
      <w:r w:rsidRPr="00514EA6">
        <w:rPr>
          <w:rFonts w:cs="Arial"/>
          <w:color w:val="000000"/>
        </w:rPr>
        <w:t>nsulin isophane</w:t>
      </w:r>
    </w:p>
    <w:p w14:paraId="2B2674CB" w14:textId="3D424AD1" w:rsidR="00514EA6" w:rsidRPr="00514EA6" w:rsidRDefault="00514EA6" w:rsidP="008F624C">
      <w:pPr>
        <w:numPr>
          <w:ilvl w:val="0"/>
          <w:numId w:val="7"/>
        </w:numPr>
        <w:ind w:left="700"/>
        <w:rPr>
          <w:rFonts w:cs="Arial"/>
          <w:color w:val="000000"/>
        </w:rPr>
      </w:pPr>
      <w:r w:rsidRPr="00514EA6">
        <w:rPr>
          <w:rFonts w:cs="Arial"/>
          <w:color w:val="000000"/>
        </w:rPr>
        <w:t xml:space="preserve">1655 </w:t>
      </w:r>
      <w:r w:rsidR="00C25469">
        <w:rPr>
          <w:rFonts w:cs="Arial"/>
          <w:color w:val="000000"/>
        </w:rPr>
        <w:t>i</w:t>
      </w:r>
      <w:r w:rsidRPr="00514EA6">
        <w:rPr>
          <w:rFonts w:cs="Arial"/>
          <w:color w:val="000000"/>
        </w:rPr>
        <w:t>nsulin zinc suspension</w:t>
      </w:r>
    </w:p>
    <w:p w14:paraId="7D5B5C9E" w14:textId="474055A5" w:rsidR="00514EA6" w:rsidRPr="00514EA6" w:rsidRDefault="00514EA6" w:rsidP="008F624C">
      <w:pPr>
        <w:numPr>
          <w:ilvl w:val="0"/>
          <w:numId w:val="7"/>
        </w:numPr>
        <w:ind w:left="700"/>
        <w:rPr>
          <w:rFonts w:cs="Arial"/>
          <w:color w:val="000000"/>
        </w:rPr>
      </w:pPr>
      <w:r w:rsidRPr="00514EA6">
        <w:rPr>
          <w:rFonts w:cs="Arial"/>
          <w:color w:val="000000"/>
        </w:rPr>
        <w:t xml:space="preserve">1794 </w:t>
      </w:r>
      <w:r w:rsidR="00C25469">
        <w:rPr>
          <w:rFonts w:cs="Arial"/>
          <w:color w:val="000000"/>
        </w:rPr>
        <w:t>m</w:t>
      </w:r>
      <w:r w:rsidRPr="00514EA6">
        <w:rPr>
          <w:rFonts w:cs="Arial"/>
          <w:color w:val="000000"/>
        </w:rPr>
        <w:t>etformin hydrochloride</w:t>
      </w:r>
    </w:p>
    <w:p w14:paraId="34FD278A" w14:textId="658B1DF9" w:rsidR="00514EA6" w:rsidRPr="00514EA6" w:rsidRDefault="00514EA6" w:rsidP="008F624C">
      <w:pPr>
        <w:numPr>
          <w:ilvl w:val="0"/>
          <w:numId w:val="7"/>
        </w:numPr>
        <w:ind w:left="700"/>
        <w:rPr>
          <w:rFonts w:cs="Arial"/>
          <w:color w:val="000000"/>
        </w:rPr>
      </w:pPr>
      <w:r w:rsidRPr="00514EA6">
        <w:rPr>
          <w:rFonts w:cs="Arial"/>
          <w:color w:val="000000"/>
        </w:rPr>
        <w:t xml:space="preserve">2276 </w:t>
      </w:r>
      <w:r w:rsidR="00C25469">
        <w:rPr>
          <w:rFonts w:cs="Arial"/>
          <w:color w:val="000000"/>
        </w:rPr>
        <w:t>t</w:t>
      </w:r>
      <w:r w:rsidRPr="00514EA6">
        <w:rPr>
          <w:rFonts w:cs="Arial"/>
          <w:color w:val="000000"/>
        </w:rPr>
        <w:t>olazamide</w:t>
      </w:r>
    </w:p>
    <w:p w14:paraId="6EE2A2A3" w14:textId="05DBDAFA" w:rsidR="00514EA6" w:rsidRPr="00514EA6" w:rsidRDefault="00514EA6" w:rsidP="008F624C">
      <w:pPr>
        <w:numPr>
          <w:ilvl w:val="0"/>
          <w:numId w:val="7"/>
        </w:numPr>
        <w:ind w:left="700"/>
        <w:rPr>
          <w:rFonts w:cs="Arial"/>
          <w:color w:val="000000"/>
        </w:rPr>
      </w:pPr>
      <w:r w:rsidRPr="00514EA6">
        <w:rPr>
          <w:rFonts w:cs="Arial"/>
          <w:color w:val="000000"/>
        </w:rPr>
        <w:t xml:space="preserve">2277 </w:t>
      </w:r>
      <w:r w:rsidR="00C25469">
        <w:rPr>
          <w:rFonts w:cs="Arial"/>
          <w:color w:val="000000"/>
        </w:rPr>
        <w:t>t</w:t>
      </w:r>
      <w:r w:rsidRPr="00514EA6">
        <w:rPr>
          <w:rFonts w:cs="Arial"/>
          <w:color w:val="000000"/>
        </w:rPr>
        <w:t>olbutamide</w:t>
      </w:r>
    </w:p>
    <w:p w14:paraId="07862853" w14:textId="7C9F527A" w:rsidR="00514EA6" w:rsidRPr="00514EA6" w:rsidRDefault="00514EA6" w:rsidP="008F624C">
      <w:pPr>
        <w:numPr>
          <w:ilvl w:val="0"/>
          <w:numId w:val="7"/>
        </w:numPr>
        <w:ind w:left="700"/>
        <w:rPr>
          <w:rFonts w:cs="Arial"/>
          <w:color w:val="000000"/>
        </w:rPr>
      </w:pPr>
      <w:r w:rsidRPr="00514EA6">
        <w:rPr>
          <w:rFonts w:cs="Arial"/>
          <w:color w:val="000000"/>
        </w:rPr>
        <w:t xml:space="preserve">3739 </w:t>
      </w:r>
      <w:r w:rsidR="00C25469">
        <w:rPr>
          <w:rFonts w:cs="Arial"/>
          <w:color w:val="000000"/>
        </w:rPr>
        <w:t>r</w:t>
      </w:r>
      <w:r w:rsidRPr="00514EA6">
        <w:rPr>
          <w:rFonts w:cs="Arial"/>
          <w:color w:val="000000"/>
        </w:rPr>
        <w:t>osiglitazone</w:t>
      </w:r>
    </w:p>
    <w:p w14:paraId="40C5BB37" w14:textId="4264BE1E" w:rsidR="00514EA6" w:rsidRPr="00514EA6" w:rsidRDefault="00514EA6" w:rsidP="008F624C">
      <w:pPr>
        <w:numPr>
          <w:ilvl w:val="0"/>
          <w:numId w:val="7"/>
        </w:numPr>
        <w:ind w:left="700"/>
        <w:rPr>
          <w:rFonts w:cs="Arial"/>
          <w:color w:val="000000"/>
        </w:rPr>
      </w:pPr>
      <w:r w:rsidRPr="00514EA6">
        <w:rPr>
          <w:rFonts w:cs="Arial"/>
          <w:color w:val="000000"/>
        </w:rPr>
        <w:t xml:space="preserve">3783 </w:t>
      </w:r>
      <w:r w:rsidR="00C25469">
        <w:rPr>
          <w:rFonts w:cs="Arial"/>
          <w:color w:val="000000"/>
        </w:rPr>
        <w:t>i</w:t>
      </w:r>
      <w:r w:rsidRPr="00514EA6">
        <w:rPr>
          <w:rFonts w:cs="Arial"/>
          <w:color w:val="000000"/>
        </w:rPr>
        <w:t xml:space="preserve">nsulin </w:t>
      </w:r>
      <w:proofErr w:type="spellStart"/>
      <w:r w:rsidRPr="00514EA6">
        <w:rPr>
          <w:rFonts w:cs="Arial"/>
          <w:color w:val="000000"/>
        </w:rPr>
        <w:t>aspart</w:t>
      </w:r>
      <w:proofErr w:type="spellEnd"/>
    </w:p>
    <w:p w14:paraId="7CABF642" w14:textId="45FC74CF" w:rsidR="00514EA6" w:rsidRPr="00514EA6" w:rsidRDefault="00514EA6" w:rsidP="008F624C">
      <w:pPr>
        <w:numPr>
          <w:ilvl w:val="0"/>
          <w:numId w:val="7"/>
        </w:numPr>
        <w:ind w:left="700"/>
        <w:rPr>
          <w:rFonts w:cs="Arial"/>
          <w:color w:val="000000"/>
        </w:rPr>
      </w:pPr>
      <w:r w:rsidRPr="00514EA6">
        <w:rPr>
          <w:rFonts w:cs="Arial"/>
          <w:color w:val="000000"/>
        </w:rPr>
        <w:t xml:space="preserve">3800 </w:t>
      </w:r>
      <w:proofErr w:type="gramStart"/>
      <w:r w:rsidR="00C25469">
        <w:rPr>
          <w:rFonts w:cs="Arial"/>
          <w:color w:val="000000"/>
        </w:rPr>
        <w:t>p</w:t>
      </w:r>
      <w:r w:rsidRPr="00514EA6">
        <w:rPr>
          <w:rFonts w:cs="Arial"/>
          <w:color w:val="000000"/>
        </w:rPr>
        <w:t>ioglitazone</w:t>
      </w:r>
      <w:proofErr w:type="gramEnd"/>
    </w:p>
    <w:p w14:paraId="6C13348A" w14:textId="5C2A5CDE" w:rsidR="00514EA6" w:rsidRPr="00514EA6" w:rsidRDefault="00514EA6" w:rsidP="008F624C">
      <w:pPr>
        <w:numPr>
          <w:ilvl w:val="0"/>
          <w:numId w:val="7"/>
        </w:numPr>
        <w:ind w:left="700"/>
        <w:rPr>
          <w:rFonts w:cs="Arial"/>
          <w:color w:val="000000"/>
        </w:rPr>
      </w:pPr>
      <w:r w:rsidRPr="00514EA6">
        <w:rPr>
          <w:rFonts w:cs="Arial"/>
          <w:color w:val="000000"/>
        </w:rPr>
        <w:t xml:space="preserve">3857 </w:t>
      </w:r>
      <w:r w:rsidR="00C25469">
        <w:rPr>
          <w:rFonts w:cs="Arial"/>
          <w:color w:val="000000"/>
        </w:rPr>
        <w:t>i</w:t>
      </w:r>
      <w:r w:rsidRPr="00514EA6">
        <w:rPr>
          <w:rFonts w:cs="Arial"/>
          <w:color w:val="000000"/>
        </w:rPr>
        <w:t>nsulin glargine</w:t>
      </w:r>
    </w:p>
    <w:p w14:paraId="37D387FF" w14:textId="1AE75606" w:rsidR="00514EA6" w:rsidRPr="00514EA6" w:rsidRDefault="00514EA6" w:rsidP="008F624C">
      <w:pPr>
        <w:numPr>
          <w:ilvl w:val="0"/>
          <w:numId w:val="7"/>
        </w:numPr>
        <w:ind w:left="700"/>
        <w:rPr>
          <w:rFonts w:cs="Arial"/>
          <w:color w:val="000000"/>
        </w:rPr>
      </w:pPr>
      <w:r w:rsidRPr="00514EA6">
        <w:rPr>
          <w:rFonts w:cs="Arial"/>
          <w:color w:val="000000"/>
        </w:rPr>
        <w:t xml:space="preserve">3882 </w:t>
      </w:r>
      <w:r w:rsidR="00C25469">
        <w:rPr>
          <w:rFonts w:cs="Arial"/>
          <w:color w:val="000000"/>
        </w:rPr>
        <w:t>i</w:t>
      </w:r>
      <w:r w:rsidRPr="00514EA6">
        <w:rPr>
          <w:rFonts w:cs="Arial"/>
          <w:color w:val="000000"/>
        </w:rPr>
        <w:t>nsulin lispro with insulin lispro protamine</w:t>
      </w:r>
    </w:p>
    <w:p w14:paraId="491510D6" w14:textId="0809D86A" w:rsidR="00514EA6" w:rsidRPr="00514EA6" w:rsidRDefault="00514EA6" w:rsidP="008F624C">
      <w:pPr>
        <w:numPr>
          <w:ilvl w:val="0"/>
          <w:numId w:val="7"/>
        </w:numPr>
        <w:ind w:left="700"/>
        <w:rPr>
          <w:rFonts w:cs="Arial"/>
          <w:color w:val="000000"/>
        </w:rPr>
      </w:pPr>
      <w:r w:rsidRPr="00514EA6">
        <w:rPr>
          <w:rFonts w:cs="Arial"/>
          <w:color w:val="000000"/>
        </w:rPr>
        <w:t xml:space="preserve">3908 </w:t>
      </w:r>
      <w:r w:rsidR="00C25469">
        <w:rPr>
          <w:rFonts w:cs="Arial"/>
          <w:color w:val="000000"/>
        </w:rPr>
        <w:t>i</w:t>
      </w:r>
      <w:r w:rsidRPr="00514EA6">
        <w:rPr>
          <w:rFonts w:cs="Arial"/>
          <w:color w:val="000000"/>
        </w:rPr>
        <w:t xml:space="preserve">nsulin </w:t>
      </w:r>
      <w:proofErr w:type="spellStart"/>
      <w:r w:rsidRPr="00514EA6">
        <w:rPr>
          <w:rFonts w:cs="Arial"/>
          <w:color w:val="000000"/>
        </w:rPr>
        <w:t>glulisine</w:t>
      </w:r>
      <w:proofErr w:type="spellEnd"/>
    </w:p>
    <w:p w14:paraId="4833BB5B" w14:textId="6E66D3E8" w:rsidR="00514EA6" w:rsidRPr="00514EA6" w:rsidRDefault="00514EA6" w:rsidP="008F624C">
      <w:pPr>
        <w:numPr>
          <w:ilvl w:val="0"/>
          <w:numId w:val="7"/>
        </w:numPr>
        <w:ind w:left="700"/>
        <w:rPr>
          <w:rFonts w:cs="Arial"/>
          <w:color w:val="000000"/>
        </w:rPr>
      </w:pPr>
      <w:r w:rsidRPr="00514EA6">
        <w:rPr>
          <w:rFonts w:cs="Arial"/>
          <w:color w:val="000000"/>
        </w:rPr>
        <w:t xml:space="preserve">3982 </w:t>
      </w:r>
      <w:r w:rsidR="00C25469">
        <w:rPr>
          <w:rFonts w:cs="Arial"/>
          <w:color w:val="000000"/>
        </w:rPr>
        <w:t>i</w:t>
      </w:r>
      <w:r w:rsidRPr="00514EA6">
        <w:rPr>
          <w:rFonts w:cs="Arial"/>
          <w:color w:val="000000"/>
        </w:rPr>
        <w:t xml:space="preserve">nsulin </w:t>
      </w:r>
      <w:proofErr w:type="spellStart"/>
      <w:r w:rsidRPr="00514EA6">
        <w:rPr>
          <w:rFonts w:cs="Arial"/>
          <w:color w:val="000000"/>
        </w:rPr>
        <w:t>aspart</w:t>
      </w:r>
      <w:proofErr w:type="spellEnd"/>
      <w:r w:rsidRPr="00514EA6">
        <w:rPr>
          <w:rFonts w:cs="Arial"/>
          <w:color w:val="000000"/>
        </w:rPr>
        <w:t xml:space="preserve"> with insulin aspart protamine</w:t>
      </w:r>
    </w:p>
    <w:p w14:paraId="03A77531" w14:textId="1676586B" w:rsidR="00514EA6" w:rsidRPr="00514EA6" w:rsidRDefault="00514EA6" w:rsidP="008F624C">
      <w:pPr>
        <w:numPr>
          <w:ilvl w:val="0"/>
          <w:numId w:val="7"/>
        </w:numPr>
        <w:ind w:left="700"/>
        <w:rPr>
          <w:rFonts w:cs="Arial"/>
          <w:color w:val="000000"/>
        </w:rPr>
      </w:pPr>
      <w:r w:rsidRPr="00514EA6">
        <w:rPr>
          <w:rFonts w:cs="Arial"/>
          <w:color w:val="000000"/>
        </w:rPr>
        <w:t xml:space="preserve">4103 </w:t>
      </w:r>
      <w:r w:rsidR="00C25469">
        <w:rPr>
          <w:rFonts w:cs="Arial"/>
          <w:color w:val="000000"/>
        </w:rPr>
        <w:t>v</w:t>
      </w:r>
      <w:r w:rsidRPr="00514EA6">
        <w:rPr>
          <w:rFonts w:cs="Arial"/>
          <w:color w:val="000000"/>
        </w:rPr>
        <w:t>ildagliptin</w:t>
      </w:r>
    </w:p>
    <w:p w14:paraId="4A479831" w14:textId="66046195" w:rsidR="00514EA6" w:rsidRPr="00514EA6" w:rsidRDefault="00514EA6" w:rsidP="008F624C">
      <w:pPr>
        <w:numPr>
          <w:ilvl w:val="0"/>
          <w:numId w:val="7"/>
        </w:numPr>
        <w:ind w:left="700"/>
        <w:rPr>
          <w:rFonts w:cs="Arial"/>
          <w:color w:val="000000"/>
        </w:rPr>
      </w:pPr>
      <w:r w:rsidRPr="00514EA6">
        <w:rPr>
          <w:rFonts w:cs="Arial"/>
          <w:color w:val="000000"/>
        </w:rPr>
        <w:lastRenderedPageBreak/>
        <w:t xml:space="preserve">4104 </w:t>
      </w:r>
      <w:r w:rsidR="00C25469">
        <w:rPr>
          <w:rFonts w:cs="Arial"/>
          <w:color w:val="000000"/>
        </w:rPr>
        <w:t>v</w:t>
      </w:r>
      <w:r w:rsidRPr="00514EA6">
        <w:rPr>
          <w:rFonts w:cs="Arial"/>
          <w:color w:val="000000"/>
        </w:rPr>
        <w:t>ildagliptin with metformin hydrochloride</w:t>
      </w:r>
    </w:p>
    <w:p w14:paraId="37A65CE7" w14:textId="680A0BD8" w:rsidR="00514EA6" w:rsidRPr="00514EA6" w:rsidRDefault="00514EA6" w:rsidP="008F624C">
      <w:pPr>
        <w:numPr>
          <w:ilvl w:val="0"/>
          <w:numId w:val="7"/>
        </w:numPr>
        <w:ind w:left="700"/>
        <w:rPr>
          <w:rFonts w:cs="Arial"/>
          <w:color w:val="000000"/>
        </w:rPr>
      </w:pPr>
      <w:r w:rsidRPr="00514EA6">
        <w:rPr>
          <w:rFonts w:cs="Arial"/>
          <w:color w:val="000000"/>
        </w:rPr>
        <w:t xml:space="preserve">4137 </w:t>
      </w:r>
      <w:r w:rsidR="00C25469">
        <w:rPr>
          <w:rFonts w:cs="Arial"/>
          <w:color w:val="000000"/>
        </w:rPr>
        <w:t>e</w:t>
      </w:r>
      <w:r w:rsidRPr="00514EA6">
        <w:rPr>
          <w:rFonts w:cs="Arial"/>
          <w:color w:val="000000"/>
        </w:rPr>
        <w:t>mpagliflozin</w:t>
      </w:r>
    </w:p>
    <w:p w14:paraId="0446E03D" w14:textId="02DA00B7" w:rsidR="00514EA6" w:rsidRPr="00514EA6" w:rsidRDefault="00514EA6" w:rsidP="008F624C">
      <w:pPr>
        <w:numPr>
          <w:ilvl w:val="0"/>
          <w:numId w:val="7"/>
        </w:numPr>
        <w:ind w:left="700"/>
        <w:rPr>
          <w:rFonts w:cs="Arial"/>
          <w:color w:val="000000"/>
        </w:rPr>
      </w:pPr>
      <w:r w:rsidRPr="00514EA6">
        <w:rPr>
          <w:rFonts w:cs="Arial"/>
          <w:color w:val="000000"/>
        </w:rPr>
        <w:t xml:space="preserve">4138 </w:t>
      </w:r>
      <w:r w:rsidR="00C25469">
        <w:rPr>
          <w:rFonts w:cs="Arial"/>
          <w:color w:val="000000"/>
        </w:rPr>
        <w:t>e</w:t>
      </w:r>
      <w:r w:rsidRPr="00514EA6">
        <w:rPr>
          <w:rFonts w:cs="Arial"/>
          <w:color w:val="000000"/>
        </w:rPr>
        <w:t>mpagliflozin with metformin hydrochloride</w:t>
      </w:r>
    </w:p>
    <w:p w14:paraId="2E15413A" w14:textId="1DADFE7D" w:rsidR="00514EA6" w:rsidRPr="00514EA6" w:rsidRDefault="00514EA6" w:rsidP="008F624C">
      <w:pPr>
        <w:numPr>
          <w:ilvl w:val="0"/>
          <w:numId w:val="7"/>
        </w:numPr>
        <w:ind w:left="700"/>
        <w:rPr>
          <w:rFonts w:cs="Arial"/>
          <w:color w:val="000000"/>
        </w:rPr>
      </w:pPr>
      <w:r w:rsidRPr="00514EA6">
        <w:rPr>
          <w:rFonts w:cs="Arial"/>
          <w:color w:val="000000"/>
        </w:rPr>
        <w:t xml:space="preserve">4149 </w:t>
      </w:r>
      <w:r w:rsidR="00C25469">
        <w:rPr>
          <w:rFonts w:cs="Arial"/>
          <w:color w:val="000000"/>
        </w:rPr>
        <w:t>d</w:t>
      </w:r>
      <w:r w:rsidRPr="00514EA6">
        <w:rPr>
          <w:rFonts w:cs="Arial"/>
          <w:color w:val="000000"/>
        </w:rPr>
        <w:t>ulaglutide</w:t>
      </w:r>
    </w:p>
    <w:p w14:paraId="00742956" w14:textId="1488C33D" w:rsidR="00514EA6" w:rsidRPr="00514EA6" w:rsidRDefault="00514EA6" w:rsidP="008F624C">
      <w:pPr>
        <w:numPr>
          <w:ilvl w:val="0"/>
          <w:numId w:val="7"/>
        </w:numPr>
        <w:ind w:left="700"/>
        <w:rPr>
          <w:rFonts w:cs="Arial"/>
          <w:color w:val="000000"/>
        </w:rPr>
      </w:pPr>
      <w:r w:rsidRPr="00514EA6">
        <w:rPr>
          <w:rFonts w:cs="Arial"/>
          <w:color w:val="000000"/>
        </w:rPr>
        <w:t xml:space="preserve">6300 </w:t>
      </w:r>
      <w:r w:rsidR="00C25469">
        <w:rPr>
          <w:rFonts w:cs="Arial"/>
          <w:color w:val="000000"/>
        </w:rPr>
        <w:t>i</w:t>
      </w:r>
      <w:r w:rsidRPr="00514EA6">
        <w:rPr>
          <w:rFonts w:cs="Arial"/>
          <w:color w:val="000000"/>
        </w:rPr>
        <w:t>nsulin isophane with insulin neutral</w:t>
      </w:r>
    </w:p>
    <w:p w14:paraId="036284DD" w14:textId="4392FDAE" w:rsidR="00514EA6" w:rsidRPr="00514EA6" w:rsidRDefault="00514EA6" w:rsidP="003F756E">
      <w:pPr>
        <w:numPr>
          <w:ilvl w:val="0"/>
          <w:numId w:val="7"/>
        </w:numPr>
        <w:spacing w:after="120"/>
        <w:ind w:left="700"/>
        <w:rPr>
          <w:rFonts w:cs="Arial"/>
          <w:color w:val="000000"/>
        </w:rPr>
      </w:pPr>
      <w:r w:rsidRPr="00514EA6">
        <w:rPr>
          <w:rFonts w:cs="Arial"/>
          <w:color w:val="000000"/>
        </w:rPr>
        <w:t xml:space="preserve">4173 </w:t>
      </w:r>
      <w:r w:rsidR="00C25469">
        <w:rPr>
          <w:rFonts w:cs="Arial"/>
          <w:color w:val="000000"/>
        </w:rPr>
        <w:t>l</w:t>
      </w:r>
      <w:r w:rsidRPr="00514EA6">
        <w:rPr>
          <w:rFonts w:cs="Arial"/>
          <w:color w:val="000000"/>
        </w:rPr>
        <w:t>iraglutide</w:t>
      </w:r>
    </w:p>
    <w:p w14:paraId="68CD6F01" w14:textId="7E9CEAC7" w:rsidR="00514EA6" w:rsidRPr="00514EA6" w:rsidRDefault="00514EA6" w:rsidP="008F624C">
      <w:pPr>
        <w:ind w:left="340"/>
        <w:rPr>
          <w:rFonts w:cs="Arial"/>
          <w:color w:val="000000"/>
        </w:rPr>
      </w:pPr>
      <w:r w:rsidRPr="00514EA6">
        <w:rPr>
          <w:rFonts w:cs="Arial"/>
          <w:color w:val="000000"/>
        </w:rPr>
        <w:t>Note: Metformin is also used to treat polycystic ovary syndrome in women aged 12–45 years. Women who are dispensed metformin within this age group have not been included within the VDR. Likewise, because insulin is also used to treat gestational diabetes, women dispensed insulin within 5 months before and two weeks after the birth discharge date of the birth event have not been included.</w:t>
      </w:r>
    </w:p>
    <w:p w14:paraId="0EB62DF3" w14:textId="77777777" w:rsidR="008F624C" w:rsidRDefault="00514EA6" w:rsidP="00D973B8">
      <w:pPr>
        <w:pStyle w:val="ListParagraph"/>
        <w:numPr>
          <w:ilvl w:val="0"/>
          <w:numId w:val="13"/>
        </w:numPr>
        <w:spacing w:before="120"/>
        <w:ind w:left="360"/>
        <w:rPr>
          <w:color w:val="000000"/>
        </w:rPr>
      </w:pPr>
      <w:r w:rsidRPr="008F624C">
        <w:rPr>
          <w:color w:val="000000"/>
        </w:rPr>
        <w:t>Four or more HbA1c, glycosylated haemoglobin lab tests (lab test code BG2) and two or more ACR tests (lab test code BP8) between 2021 and 2022.</w:t>
      </w:r>
      <w:r w:rsidR="008F624C">
        <w:rPr>
          <w:color w:val="000000"/>
        </w:rPr>
        <w:t xml:space="preserve"> </w:t>
      </w:r>
    </w:p>
    <w:p w14:paraId="05F2519D" w14:textId="7ECA3AB6" w:rsidR="00CE0CEE" w:rsidRPr="008F624C" w:rsidRDefault="00514EA6" w:rsidP="008F624C">
      <w:pPr>
        <w:pStyle w:val="ListParagraph"/>
        <w:numPr>
          <w:ilvl w:val="0"/>
          <w:numId w:val="0"/>
        </w:numPr>
        <w:spacing w:before="120"/>
        <w:ind w:left="357"/>
        <w:contextualSpacing w:val="0"/>
        <w:rPr>
          <w:color w:val="000000"/>
        </w:rPr>
      </w:pPr>
      <w:r w:rsidRPr="008F624C">
        <w:rPr>
          <w:color w:val="000000"/>
        </w:rPr>
        <w:t>Note: To avoid unintentionally including people with gestational diabetes, the VDR does not include women who had lab HbA1c tests within 9 months before the birth event.</w:t>
      </w:r>
    </w:p>
    <w:sectPr w:rsidR="00CE0CEE" w:rsidRPr="008F624C" w:rsidSect="000D32C4">
      <w:footerReference w:type="default" r:id="rId18"/>
      <w:pgSz w:w="11906" w:h="16838"/>
      <w:pgMar w:top="851" w:right="1418" w:bottom="1247" w:left="1418"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E4F8C5" w14:textId="77777777" w:rsidR="001967C0" w:rsidRDefault="001967C0">
      <w:r>
        <w:separator/>
      </w:r>
    </w:p>
  </w:endnote>
  <w:endnote w:type="continuationSeparator" w:id="0">
    <w:p w14:paraId="27274B44" w14:textId="77777777" w:rsidR="001967C0" w:rsidRDefault="001967C0">
      <w:r>
        <w:continuationSeparator/>
      </w:r>
    </w:p>
  </w:endnote>
  <w:endnote w:type="continuationNotice" w:id="1">
    <w:p w14:paraId="3766D468" w14:textId="77777777" w:rsidR="00B42B67" w:rsidRDefault="00B42B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Garamond Pro">
    <w:altName w:val="Garamond"/>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dobe Garamond Pro Bold">
    <w:altName w:val="Garamon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E5DF8" w14:textId="1F9C1EEF" w:rsidR="003A3EF0" w:rsidRPr="000D32C4" w:rsidRDefault="003A3EF0" w:rsidP="000D32C4">
    <w:pPr>
      <w:pStyle w:val="Footer"/>
      <w:tabs>
        <w:tab w:val="clear" w:pos="8306"/>
        <w:tab w:val="right" w:pos="9072"/>
      </w:tabs>
      <w:rPr>
        <w:sz w:val="18"/>
        <w:szCs w:val="18"/>
      </w:rPr>
    </w:pPr>
    <w:r w:rsidRPr="00DD7BAF">
      <w:rPr>
        <w:iCs/>
        <w:noProof/>
        <w:sz w:val="18"/>
        <w:szCs w:val="18"/>
      </w:rPr>
      <w:t xml:space="preserve">Methodology | </w:t>
    </w:r>
    <w:r w:rsidR="00564994" w:rsidRPr="00DD7BAF">
      <w:rPr>
        <w:iCs/>
        <w:noProof/>
        <w:sz w:val="18"/>
        <w:szCs w:val="18"/>
      </w:rPr>
      <w:t xml:space="preserve">Diabetes </w:t>
    </w:r>
    <w:r w:rsidRPr="00DD7BAF">
      <w:rPr>
        <w:iCs/>
        <w:noProof/>
        <w:sz w:val="18"/>
        <w:szCs w:val="18"/>
      </w:rPr>
      <w:t>Atlas of Healthcare Variation</w:t>
    </w:r>
    <w:r w:rsidR="00564994" w:rsidRPr="00DD7BAF">
      <w:rPr>
        <w:iCs/>
        <w:noProof/>
        <w:sz w:val="18"/>
        <w:szCs w:val="18"/>
      </w:rPr>
      <w:t xml:space="preserve"> (</w:t>
    </w:r>
    <w:r w:rsidR="00986A7D">
      <w:rPr>
        <w:iCs/>
        <w:noProof/>
        <w:sz w:val="18"/>
        <w:szCs w:val="18"/>
      </w:rPr>
      <w:t>June 2024</w:t>
    </w:r>
    <w:r w:rsidR="00564994" w:rsidRPr="00DD7BAF">
      <w:rPr>
        <w:iCs/>
        <w:noProof/>
        <w:sz w:val="18"/>
        <w:szCs w:val="18"/>
      </w:rPr>
      <w:t>)</w:t>
    </w:r>
    <w:r>
      <w:rPr>
        <w:sz w:val="18"/>
        <w:szCs w:val="18"/>
      </w:rPr>
      <w:tab/>
    </w:r>
    <w:r w:rsidRPr="00D16D75">
      <w:rPr>
        <w:sz w:val="18"/>
        <w:szCs w:val="18"/>
      </w:rPr>
      <w:t xml:space="preserve">Page </w:t>
    </w:r>
    <w:r w:rsidRPr="00D16D75">
      <w:rPr>
        <w:sz w:val="18"/>
        <w:szCs w:val="18"/>
      </w:rPr>
      <w:fldChar w:fldCharType="begin"/>
    </w:r>
    <w:r w:rsidRPr="00D16D75">
      <w:rPr>
        <w:sz w:val="18"/>
        <w:szCs w:val="18"/>
      </w:rPr>
      <w:instrText xml:space="preserve"> PAGE </w:instrText>
    </w:r>
    <w:r w:rsidRPr="00D16D75">
      <w:rPr>
        <w:sz w:val="18"/>
        <w:szCs w:val="18"/>
      </w:rPr>
      <w:fldChar w:fldCharType="separate"/>
    </w:r>
    <w:r>
      <w:rPr>
        <w:sz w:val="18"/>
        <w:szCs w:val="18"/>
      </w:rPr>
      <w:t>1</w:t>
    </w:r>
    <w:r w:rsidRPr="00D16D75">
      <w:rPr>
        <w:sz w:val="18"/>
        <w:szCs w:val="18"/>
      </w:rPr>
      <w:fldChar w:fldCharType="end"/>
    </w:r>
    <w:r w:rsidRPr="00D16D75">
      <w:rPr>
        <w:sz w:val="18"/>
        <w:szCs w:val="18"/>
      </w:rPr>
      <w:t xml:space="preserve"> of </w:t>
    </w:r>
    <w:r w:rsidRPr="00D16D75">
      <w:rPr>
        <w:rStyle w:val="PageNumber"/>
        <w:sz w:val="18"/>
        <w:szCs w:val="18"/>
      </w:rPr>
      <w:fldChar w:fldCharType="begin"/>
    </w:r>
    <w:r w:rsidRPr="00D16D75">
      <w:rPr>
        <w:rStyle w:val="PageNumber"/>
        <w:sz w:val="18"/>
        <w:szCs w:val="18"/>
      </w:rPr>
      <w:instrText xml:space="preserve"> NUMPAGES </w:instrText>
    </w:r>
    <w:r w:rsidRPr="00D16D75">
      <w:rPr>
        <w:rStyle w:val="PageNumber"/>
        <w:sz w:val="18"/>
        <w:szCs w:val="18"/>
      </w:rPr>
      <w:fldChar w:fldCharType="separate"/>
    </w:r>
    <w:r>
      <w:rPr>
        <w:rStyle w:val="PageNumber"/>
        <w:sz w:val="18"/>
        <w:szCs w:val="18"/>
      </w:rPr>
      <w:t>22</w:t>
    </w:r>
    <w:r w:rsidRPr="00D16D75">
      <w:rPr>
        <w:rStyle w:val="PageNumbe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F6CC81" w14:textId="77777777" w:rsidR="001967C0" w:rsidRDefault="001967C0">
      <w:r>
        <w:separator/>
      </w:r>
    </w:p>
  </w:footnote>
  <w:footnote w:type="continuationSeparator" w:id="0">
    <w:p w14:paraId="4AD2A6CC" w14:textId="77777777" w:rsidR="001967C0" w:rsidRDefault="001967C0">
      <w:r>
        <w:continuationSeparator/>
      </w:r>
    </w:p>
  </w:footnote>
  <w:footnote w:type="continuationNotice" w:id="1">
    <w:p w14:paraId="69C7F649" w14:textId="77777777" w:rsidR="00B42B67" w:rsidRDefault="00B42B67">
      <w:pPr>
        <w:spacing w:after="0" w:line="240" w:lineRule="auto"/>
      </w:pPr>
    </w:p>
  </w:footnote>
  <w:footnote w:id="2">
    <w:p w14:paraId="00AD1571" w14:textId="77777777" w:rsidR="00FC6048" w:rsidRDefault="00FC6048" w:rsidP="00FC6048">
      <w:pPr>
        <w:pStyle w:val="FootnoteText"/>
      </w:pPr>
      <w:r>
        <w:rPr>
          <w:rStyle w:val="FootnoteReference"/>
        </w:rPr>
        <w:footnoteRef/>
      </w:r>
      <w:r>
        <w:t xml:space="preserve"> </w:t>
      </w:r>
      <w:r w:rsidRPr="007971EC">
        <w:t>Regular use was defined as medication dispensed in three or four quarters during a year.</w:t>
      </w:r>
    </w:p>
  </w:footnote>
  <w:footnote w:id="3">
    <w:p w14:paraId="7C57B3CE" w14:textId="77777777" w:rsidR="00EB4387" w:rsidRDefault="00EB4387" w:rsidP="00EB4387">
      <w:pPr>
        <w:pStyle w:val="FootnoteText"/>
      </w:pPr>
      <w:r>
        <w:rPr>
          <w:rStyle w:val="FootnoteReference"/>
        </w:rPr>
        <w:footnoteRef/>
      </w:r>
      <w:r>
        <w:t xml:space="preserve"> </w:t>
      </w:r>
      <w:r w:rsidRPr="007971EC">
        <w:t>Regular use was defined as medication dispensed in three or four quarters during a year.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E3446760"/>
    <w:lvl w:ilvl="0">
      <w:start w:val="1"/>
      <w:numFmt w:val="decimal"/>
      <w:pStyle w:val="ListNumber"/>
      <w:lvlText w:val="%1."/>
      <w:lvlJc w:val="left"/>
      <w:pPr>
        <w:tabs>
          <w:tab w:val="num" w:pos="360"/>
        </w:tabs>
        <w:ind w:left="360" w:hanging="360"/>
      </w:pPr>
      <w:rPr>
        <w:rFonts w:hint="default"/>
      </w:rPr>
    </w:lvl>
  </w:abstractNum>
  <w:abstractNum w:abstractNumId="1" w15:restartNumberingAfterBreak="0">
    <w:nsid w:val="FFFFFF89"/>
    <w:multiLevelType w:val="singleLevel"/>
    <w:tmpl w:val="3FA285B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6528CF"/>
    <w:multiLevelType w:val="hybridMultilevel"/>
    <w:tmpl w:val="82EAD15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3272A5A"/>
    <w:multiLevelType w:val="hybridMultilevel"/>
    <w:tmpl w:val="910AC8D4"/>
    <w:lvl w:ilvl="0" w:tplc="FA844070">
      <w:start w:val="1"/>
      <w:numFmt w:val="bullet"/>
      <w:pStyle w:val="ListParagraph"/>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114A6EEE"/>
    <w:multiLevelType w:val="hybridMultilevel"/>
    <w:tmpl w:val="762263EA"/>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A154EC3"/>
    <w:multiLevelType w:val="hybridMultilevel"/>
    <w:tmpl w:val="9BB296A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BB81D54"/>
    <w:multiLevelType w:val="hybridMultilevel"/>
    <w:tmpl w:val="6AE2C8BC"/>
    <w:lvl w:ilvl="0" w:tplc="2AB0FB04">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9C946AD"/>
    <w:multiLevelType w:val="hybridMultilevel"/>
    <w:tmpl w:val="3B42DC3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8" w15:restartNumberingAfterBreak="0">
    <w:nsid w:val="4674028E"/>
    <w:multiLevelType w:val="hybridMultilevel"/>
    <w:tmpl w:val="3B605F3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52E56B22"/>
    <w:multiLevelType w:val="hybridMultilevel"/>
    <w:tmpl w:val="9A1000D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0" w15:restartNumberingAfterBreak="0">
    <w:nsid w:val="59BA0E68"/>
    <w:multiLevelType w:val="hybridMultilevel"/>
    <w:tmpl w:val="A96CFF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5BE47260"/>
    <w:multiLevelType w:val="hybridMultilevel"/>
    <w:tmpl w:val="2FB6DE1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5E5822BD"/>
    <w:multiLevelType w:val="hybridMultilevel"/>
    <w:tmpl w:val="B600D2C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7E170A64"/>
    <w:multiLevelType w:val="hybridMultilevel"/>
    <w:tmpl w:val="A6DA956A"/>
    <w:lvl w:ilvl="0" w:tplc="48266DCC">
      <w:numFmt w:val="bullet"/>
      <w:lvlText w:val=""/>
      <w:lvlJc w:val="left"/>
      <w:pPr>
        <w:ind w:left="720" w:hanging="360"/>
      </w:pPr>
      <w:rPr>
        <w:rFonts w:ascii="Symbol" w:eastAsia="Calibri" w:hAnsi="Symbo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7FB81D09"/>
    <w:multiLevelType w:val="hybridMultilevel"/>
    <w:tmpl w:val="E472A8B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206915343">
    <w:abstractNumId w:val="1"/>
  </w:num>
  <w:num w:numId="2" w16cid:durableId="432556190">
    <w:abstractNumId w:val="0"/>
  </w:num>
  <w:num w:numId="3" w16cid:durableId="803426059">
    <w:abstractNumId w:val="3"/>
  </w:num>
  <w:num w:numId="4" w16cid:durableId="1345665900">
    <w:abstractNumId w:val="11"/>
  </w:num>
  <w:num w:numId="5" w16cid:durableId="29032783">
    <w:abstractNumId w:val="7"/>
  </w:num>
  <w:num w:numId="6" w16cid:durableId="557284707">
    <w:abstractNumId w:val="6"/>
  </w:num>
  <w:num w:numId="7" w16cid:durableId="862592473">
    <w:abstractNumId w:val="9"/>
  </w:num>
  <w:num w:numId="8" w16cid:durableId="1586183987">
    <w:abstractNumId w:val="4"/>
  </w:num>
  <w:num w:numId="9" w16cid:durableId="1611473277">
    <w:abstractNumId w:val="12"/>
  </w:num>
  <w:num w:numId="10" w16cid:durableId="618993870">
    <w:abstractNumId w:val="10"/>
  </w:num>
  <w:num w:numId="11" w16cid:durableId="1126510673">
    <w:abstractNumId w:val="8"/>
  </w:num>
  <w:num w:numId="12" w16cid:durableId="1139108464">
    <w:abstractNumId w:val="13"/>
  </w:num>
  <w:num w:numId="13" w16cid:durableId="1429037192">
    <w:abstractNumId w:val="14"/>
  </w:num>
  <w:num w:numId="14" w16cid:durableId="421297732">
    <w:abstractNumId w:val="2"/>
  </w:num>
  <w:num w:numId="15" w16cid:durableId="1647735899">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formatting="1" w:enforcement="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nnotated&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190696"/>
    <w:rsid w:val="0000087A"/>
    <w:rsid w:val="00001CC2"/>
    <w:rsid w:val="00004B30"/>
    <w:rsid w:val="00006B57"/>
    <w:rsid w:val="00011BBD"/>
    <w:rsid w:val="000126F5"/>
    <w:rsid w:val="00014BA1"/>
    <w:rsid w:val="00016683"/>
    <w:rsid w:val="00020BBD"/>
    <w:rsid w:val="00020CC8"/>
    <w:rsid w:val="0002206E"/>
    <w:rsid w:val="0002313A"/>
    <w:rsid w:val="000239AF"/>
    <w:rsid w:val="00025364"/>
    <w:rsid w:val="000265E5"/>
    <w:rsid w:val="00026AA7"/>
    <w:rsid w:val="00031FC1"/>
    <w:rsid w:val="0003335F"/>
    <w:rsid w:val="00033950"/>
    <w:rsid w:val="000344D3"/>
    <w:rsid w:val="00036137"/>
    <w:rsid w:val="0003624D"/>
    <w:rsid w:val="00036EF4"/>
    <w:rsid w:val="00040866"/>
    <w:rsid w:val="0004097C"/>
    <w:rsid w:val="00042D68"/>
    <w:rsid w:val="000436AC"/>
    <w:rsid w:val="00044667"/>
    <w:rsid w:val="00045C36"/>
    <w:rsid w:val="000500B1"/>
    <w:rsid w:val="00054552"/>
    <w:rsid w:val="000550F1"/>
    <w:rsid w:val="00056759"/>
    <w:rsid w:val="00060F8A"/>
    <w:rsid w:val="00061E73"/>
    <w:rsid w:val="00063E64"/>
    <w:rsid w:val="00063EA6"/>
    <w:rsid w:val="000666AC"/>
    <w:rsid w:val="000673DF"/>
    <w:rsid w:val="00070B11"/>
    <w:rsid w:val="000711E3"/>
    <w:rsid w:val="000712D8"/>
    <w:rsid w:val="000737A4"/>
    <w:rsid w:val="000772F2"/>
    <w:rsid w:val="00077C6B"/>
    <w:rsid w:val="000810F5"/>
    <w:rsid w:val="00082434"/>
    <w:rsid w:val="00082607"/>
    <w:rsid w:val="000865FA"/>
    <w:rsid w:val="00087E9E"/>
    <w:rsid w:val="0009037E"/>
    <w:rsid w:val="0009114A"/>
    <w:rsid w:val="000A00C2"/>
    <w:rsid w:val="000A0453"/>
    <w:rsid w:val="000A06FB"/>
    <w:rsid w:val="000A0B63"/>
    <w:rsid w:val="000A1740"/>
    <w:rsid w:val="000A2400"/>
    <w:rsid w:val="000A2A86"/>
    <w:rsid w:val="000A347C"/>
    <w:rsid w:val="000A39BA"/>
    <w:rsid w:val="000A5459"/>
    <w:rsid w:val="000A662E"/>
    <w:rsid w:val="000A7F71"/>
    <w:rsid w:val="000B038F"/>
    <w:rsid w:val="000B0506"/>
    <w:rsid w:val="000B0CC1"/>
    <w:rsid w:val="000B0CEA"/>
    <w:rsid w:val="000B1555"/>
    <w:rsid w:val="000B1678"/>
    <w:rsid w:val="000B241E"/>
    <w:rsid w:val="000B3877"/>
    <w:rsid w:val="000B42F7"/>
    <w:rsid w:val="000B4D14"/>
    <w:rsid w:val="000B6FEE"/>
    <w:rsid w:val="000C1E31"/>
    <w:rsid w:val="000C22FD"/>
    <w:rsid w:val="000C5077"/>
    <w:rsid w:val="000C775F"/>
    <w:rsid w:val="000D1F7C"/>
    <w:rsid w:val="000D2F1C"/>
    <w:rsid w:val="000D32C4"/>
    <w:rsid w:val="000D4273"/>
    <w:rsid w:val="000D45AD"/>
    <w:rsid w:val="000D4DAE"/>
    <w:rsid w:val="000D4F3B"/>
    <w:rsid w:val="000D5591"/>
    <w:rsid w:val="000E21C7"/>
    <w:rsid w:val="000E27C0"/>
    <w:rsid w:val="000E5EEC"/>
    <w:rsid w:val="000E5F53"/>
    <w:rsid w:val="000E5F6D"/>
    <w:rsid w:val="000E6F2E"/>
    <w:rsid w:val="000E7663"/>
    <w:rsid w:val="000F1648"/>
    <w:rsid w:val="000F18B7"/>
    <w:rsid w:val="000F5256"/>
    <w:rsid w:val="000F55D4"/>
    <w:rsid w:val="000F615E"/>
    <w:rsid w:val="001038DF"/>
    <w:rsid w:val="0010489B"/>
    <w:rsid w:val="00105535"/>
    <w:rsid w:val="00107A45"/>
    <w:rsid w:val="00107DE3"/>
    <w:rsid w:val="00110EF0"/>
    <w:rsid w:val="0011179D"/>
    <w:rsid w:val="001139C8"/>
    <w:rsid w:val="00114E54"/>
    <w:rsid w:val="00117180"/>
    <w:rsid w:val="00117DFF"/>
    <w:rsid w:val="00120036"/>
    <w:rsid w:val="00123072"/>
    <w:rsid w:val="00131EA2"/>
    <w:rsid w:val="00132453"/>
    <w:rsid w:val="00133250"/>
    <w:rsid w:val="00133743"/>
    <w:rsid w:val="0013386B"/>
    <w:rsid w:val="00133F85"/>
    <w:rsid w:val="001363A8"/>
    <w:rsid w:val="00141630"/>
    <w:rsid w:val="00141B1E"/>
    <w:rsid w:val="00141F0E"/>
    <w:rsid w:val="00142D03"/>
    <w:rsid w:val="00142DD9"/>
    <w:rsid w:val="00143760"/>
    <w:rsid w:val="00143878"/>
    <w:rsid w:val="0014396C"/>
    <w:rsid w:val="00144036"/>
    <w:rsid w:val="001445B6"/>
    <w:rsid w:val="001479E4"/>
    <w:rsid w:val="00147C21"/>
    <w:rsid w:val="00147C2F"/>
    <w:rsid w:val="00150C17"/>
    <w:rsid w:val="00151EEA"/>
    <w:rsid w:val="00153240"/>
    <w:rsid w:val="0015339F"/>
    <w:rsid w:val="0015360C"/>
    <w:rsid w:val="00155624"/>
    <w:rsid w:val="00155B42"/>
    <w:rsid w:val="00155C0B"/>
    <w:rsid w:val="00156007"/>
    <w:rsid w:val="001566A0"/>
    <w:rsid w:val="001574CB"/>
    <w:rsid w:val="00161D66"/>
    <w:rsid w:val="00162AB9"/>
    <w:rsid w:val="00163932"/>
    <w:rsid w:val="001656A6"/>
    <w:rsid w:val="00170A15"/>
    <w:rsid w:val="001741EB"/>
    <w:rsid w:val="001745EE"/>
    <w:rsid w:val="001750FC"/>
    <w:rsid w:val="00176787"/>
    <w:rsid w:val="001777BB"/>
    <w:rsid w:val="00180CE8"/>
    <w:rsid w:val="00183313"/>
    <w:rsid w:val="00183F84"/>
    <w:rsid w:val="0018594A"/>
    <w:rsid w:val="00190644"/>
    <w:rsid w:val="00190696"/>
    <w:rsid w:val="00191BD4"/>
    <w:rsid w:val="00192AE7"/>
    <w:rsid w:val="00192B84"/>
    <w:rsid w:val="001938C1"/>
    <w:rsid w:val="001949BD"/>
    <w:rsid w:val="00194AD9"/>
    <w:rsid w:val="00195666"/>
    <w:rsid w:val="00195EC0"/>
    <w:rsid w:val="001967C0"/>
    <w:rsid w:val="00196EF4"/>
    <w:rsid w:val="001A07E9"/>
    <w:rsid w:val="001A11D5"/>
    <w:rsid w:val="001A15C4"/>
    <w:rsid w:val="001A26DA"/>
    <w:rsid w:val="001A2854"/>
    <w:rsid w:val="001A2B53"/>
    <w:rsid w:val="001A356B"/>
    <w:rsid w:val="001A39D5"/>
    <w:rsid w:val="001A3B6D"/>
    <w:rsid w:val="001A433B"/>
    <w:rsid w:val="001A54D6"/>
    <w:rsid w:val="001A5837"/>
    <w:rsid w:val="001A688D"/>
    <w:rsid w:val="001B12A5"/>
    <w:rsid w:val="001B3C59"/>
    <w:rsid w:val="001B43DE"/>
    <w:rsid w:val="001B640A"/>
    <w:rsid w:val="001B7A2B"/>
    <w:rsid w:val="001C0814"/>
    <w:rsid w:val="001C2027"/>
    <w:rsid w:val="001C2F42"/>
    <w:rsid w:val="001C42CC"/>
    <w:rsid w:val="001C6D99"/>
    <w:rsid w:val="001C79E7"/>
    <w:rsid w:val="001D02BC"/>
    <w:rsid w:val="001D10B1"/>
    <w:rsid w:val="001D363E"/>
    <w:rsid w:val="001D3AAC"/>
    <w:rsid w:val="001D4C9C"/>
    <w:rsid w:val="001D4DF9"/>
    <w:rsid w:val="001D67A3"/>
    <w:rsid w:val="001D76D1"/>
    <w:rsid w:val="001D7C87"/>
    <w:rsid w:val="001E07B2"/>
    <w:rsid w:val="001E1C6D"/>
    <w:rsid w:val="001E1EBF"/>
    <w:rsid w:val="001E32A2"/>
    <w:rsid w:val="001E40E4"/>
    <w:rsid w:val="001E42C2"/>
    <w:rsid w:val="001E44EB"/>
    <w:rsid w:val="001E5FFF"/>
    <w:rsid w:val="001E67EF"/>
    <w:rsid w:val="001E6CE2"/>
    <w:rsid w:val="001F05FA"/>
    <w:rsid w:val="001F2856"/>
    <w:rsid w:val="001F6067"/>
    <w:rsid w:val="001F6883"/>
    <w:rsid w:val="00202D6D"/>
    <w:rsid w:val="00203B77"/>
    <w:rsid w:val="00203E60"/>
    <w:rsid w:val="002046C2"/>
    <w:rsid w:val="002046DB"/>
    <w:rsid w:val="00205F63"/>
    <w:rsid w:val="00206382"/>
    <w:rsid w:val="00206E78"/>
    <w:rsid w:val="002137F7"/>
    <w:rsid w:val="00220624"/>
    <w:rsid w:val="00223369"/>
    <w:rsid w:val="00223F27"/>
    <w:rsid w:val="002256CF"/>
    <w:rsid w:val="00227108"/>
    <w:rsid w:val="0022780E"/>
    <w:rsid w:val="00231B47"/>
    <w:rsid w:val="0023343D"/>
    <w:rsid w:val="002339AF"/>
    <w:rsid w:val="00246147"/>
    <w:rsid w:val="00246922"/>
    <w:rsid w:val="002473DC"/>
    <w:rsid w:val="002504A7"/>
    <w:rsid w:val="0025201E"/>
    <w:rsid w:val="002529C0"/>
    <w:rsid w:val="00252C8E"/>
    <w:rsid w:val="00253629"/>
    <w:rsid w:val="002540BA"/>
    <w:rsid w:val="0025476E"/>
    <w:rsid w:val="002571EF"/>
    <w:rsid w:val="00257430"/>
    <w:rsid w:val="00262B17"/>
    <w:rsid w:val="00264512"/>
    <w:rsid w:val="0026458D"/>
    <w:rsid w:val="00265AC9"/>
    <w:rsid w:val="0027226C"/>
    <w:rsid w:val="0027278D"/>
    <w:rsid w:val="00275CB8"/>
    <w:rsid w:val="00276A54"/>
    <w:rsid w:val="00276C48"/>
    <w:rsid w:val="002804C6"/>
    <w:rsid w:val="00285701"/>
    <w:rsid w:val="002872C0"/>
    <w:rsid w:val="00290403"/>
    <w:rsid w:val="002918E1"/>
    <w:rsid w:val="00291B66"/>
    <w:rsid w:val="00292420"/>
    <w:rsid w:val="002957DD"/>
    <w:rsid w:val="00297AEC"/>
    <w:rsid w:val="002A2D89"/>
    <w:rsid w:val="002A4679"/>
    <w:rsid w:val="002A5848"/>
    <w:rsid w:val="002A6070"/>
    <w:rsid w:val="002A716B"/>
    <w:rsid w:val="002A7E18"/>
    <w:rsid w:val="002B0204"/>
    <w:rsid w:val="002B20A7"/>
    <w:rsid w:val="002B4954"/>
    <w:rsid w:val="002B5B88"/>
    <w:rsid w:val="002C10C5"/>
    <w:rsid w:val="002C1192"/>
    <w:rsid w:val="002C11DD"/>
    <w:rsid w:val="002C150C"/>
    <w:rsid w:val="002C2D31"/>
    <w:rsid w:val="002C34BD"/>
    <w:rsid w:val="002C61B9"/>
    <w:rsid w:val="002C6D25"/>
    <w:rsid w:val="002D03D5"/>
    <w:rsid w:val="002D10E0"/>
    <w:rsid w:val="002D112B"/>
    <w:rsid w:val="002D18F8"/>
    <w:rsid w:val="002D1AAA"/>
    <w:rsid w:val="002D32A7"/>
    <w:rsid w:val="002D358A"/>
    <w:rsid w:val="002D5556"/>
    <w:rsid w:val="002D7249"/>
    <w:rsid w:val="002D7934"/>
    <w:rsid w:val="002D7EB7"/>
    <w:rsid w:val="002E1FB3"/>
    <w:rsid w:val="002E26D5"/>
    <w:rsid w:val="002E2F8D"/>
    <w:rsid w:val="002E3776"/>
    <w:rsid w:val="002F0824"/>
    <w:rsid w:val="002F0B17"/>
    <w:rsid w:val="002F507B"/>
    <w:rsid w:val="002F50BF"/>
    <w:rsid w:val="002F6E80"/>
    <w:rsid w:val="002F79EA"/>
    <w:rsid w:val="002F7DBB"/>
    <w:rsid w:val="00301097"/>
    <w:rsid w:val="00301389"/>
    <w:rsid w:val="00301E30"/>
    <w:rsid w:val="00302C17"/>
    <w:rsid w:val="00303BA0"/>
    <w:rsid w:val="0030461B"/>
    <w:rsid w:val="00305D07"/>
    <w:rsid w:val="00306997"/>
    <w:rsid w:val="00307659"/>
    <w:rsid w:val="003077FE"/>
    <w:rsid w:val="003108F3"/>
    <w:rsid w:val="0031148F"/>
    <w:rsid w:val="0031461E"/>
    <w:rsid w:val="00314AD9"/>
    <w:rsid w:val="00315C0E"/>
    <w:rsid w:val="0031709F"/>
    <w:rsid w:val="00317607"/>
    <w:rsid w:val="00320321"/>
    <w:rsid w:val="00322271"/>
    <w:rsid w:val="0032444B"/>
    <w:rsid w:val="003253D0"/>
    <w:rsid w:val="003262CA"/>
    <w:rsid w:val="0032789E"/>
    <w:rsid w:val="00330CC5"/>
    <w:rsid w:val="003310B7"/>
    <w:rsid w:val="003316F1"/>
    <w:rsid w:val="00332AAD"/>
    <w:rsid w:val="00333C25"/>
    <w:rsid w:val="00341893"/>
    <w:rsid w:val="00341C80"/>
    <w:rsid w:val="00343327"/>
    <w:rsid w:val="003445F4"/>
    <w:rsid w:val="003446AA"/>
    <w:rsid w:val="00347050"/>
    <w:rsid w:val="0035148E"/>
    <w:rsid w:val="00355D6F"/>
    <w:rsid w:val="003600E5"/>
    <w:rsid w:val="00360319"/>
    <w:rsid w:val="0036313E"/>
    <w:rsid w:val="0036459B"/>
    <w:rsid w:val="003660D8"/>
    <w:rsid w:val="00372B2E"/>
    <w:rsid w:val="003750BF"/>
    <w:rsid w:val="003771E4"/>
    <w:rsid w:val="0038208C"/>
    <w:rsid w:val="00382C10"/>
    <w:rsid w:val="00384347"/>
    <w:rsid w:val="00384C49"/>
    <w:rsid w:val="00385C2B"/>
    <w:rsid w:val="003864DB"/>
    <w:rsid w:val="0038702B"/>
    <w:rsid w:val="00391025"/>
    <w:rsid w:val="00392260"/>
    <w:rsid w:val="003933CE"/>
    <w:rsid w:val="00393AF3"/>
    <w:rsid w:val="00394485"/>
    <w:rsid w:val="00395757"/>
    <w:rsid w:val="003A1237"/>
    <w:rsid w:val="003A3EF0"/>
    <w:rsid w:val="003A49C3"/>
    <w:rsid w:val="003A4C1F"/>
    <w:rsid w:val="003A6DF0"/>
    <w:rsid w:val="003B2FE4"/>
    <w:rsid w:val="003B55A0"/>
    <w:rsid w:val="003B61E1"/>
    <w:rsid w:val="003B6BE0"/>
    <w:rsid w:val="003B70B0"/>
    <w:rsid w:val="003B71BC"/>
    <w:rsid w:val="003B7A28"/>
    <w:rsid w:val="003C3C99"/>
    <w:rsid w:val="003C4B2A"/>
    <w:rsid w:val="003D0E79"/>
    <w:rsid w:val="003D2147"/>
    <w:rsid w:val="003D2945"/>
    <w:rsid w:val="003D315E"/>
    <w:rsid w:val="003D5772"/>
    <w:rsid w:val="003D5F2A"/>
    <w:rsid w:val="003D6246"/>
    <w:rsid w:val="003E2D86"/>
    <w:rsid w:val="003E2FF3"/>
    <w:rsid w:val="003E36B5"/>
    <w:rsid w:val="003E3733"/>
    <w:rsid w:val="003E69E1"/>
    <w:rsid w:val="003E7E28"/>
    <w:rsid w:val="003F05D4"/>
    <w:rsid w:val="003F0B88"/>
    <w:rsid w:val="003F756E"/>
    <w:rsid w:val="003F7DED"/>
    <w:rsid w:val="00400162"/>
    <w:rsid w:val="00403606"/>
    <w:rsid w:val="00403B27"/>
    <w:rsid w:val="00406DDF"/>
    <w:rsid w:val="0041016B"/>
    <w:rsid w:val="00411B8A"/>
    <w:rsid w:val="0041249B"/>
    <w:rsid w:val="00421382"/>
    <w:rsid w:val="0042262B"/>
    <w:rsid w:val="004244BF"/>
    <w:rsid w:val="004259A8"/>
    <w:rsid w:val="00427A2B"/>
    <w:rsid w:val="004307E9"/>
    <w:rsid w:val="00430F4C"/>
    <w:rsid w:val="00431CF8"/>
    <w:rsid w:val="00434617"/>
    <w:rsid w:val="00434DE3"/>
    <w:rsid w:val="00434FD0"/>
    <w:rsid w:val="00435022"/>
    <w:rsid w:val="00436A16"/>
    <w:rsid w:val="00436FD4"/>
    <w:rsid w:val="00437D46"/>
    <w:rsid w:val="00437DC1"/>
    <w:rsid w:val="00442A14"/>
    <w:rsid w:val="004446D2"/>
    <w:rsid w:val="00446C0D"/>
    <w:rsid w:val="0045007B"/>
    <w:rsid w:val="004527E0"/>
    <w:rsid w:val="00452DF6"/>
    <w:rsid w:val="0045329A"/>
    <w:rsid w:val="004537BC"/>
    <w:rsid w:val="00453906"/>
    <w:rsid w:val="00453C84"/>
    <w:rsid w:val="00455C5C"/>
    <w:rsid w:val="00457AFE"/>
    <w:rsid w:val="00461CA0"/>
    <w:rsid w:val="004653E9"/>
    <w:rsid w:val="00465927"/>
    <w:rsid w:val="00467121"/>
    <w:rsid w:val="00470825"/>
    <w:rsid w:val="00472CA2"/>
    <w:rsid w:val="00474ADC"/>
    <w:rsid w:val="00475283"/>
    <w:rsid w:val="00476D6E"/>
    <w:rsid w:val="004806EE"/>
    <w:rsid w:val="004811E7"/>
    <w:rsid w:val="00481942"/>
    <w:rsid w:val="00481C41"/>
    <w:rsid w:val="00484812"/>
    <w:rsid w:val="004852C2"/>
    <w:rsid w:val="00485786"/>
    <w:rsid w:val="00490B9D"/>
    <w:rsid w:val="00490C4F"/>
    <w:rsid w:val="004915D7"/>
    <w:rsid w:val="00495F4C"/>
    <w:rsid w:val="0049659C"/>
    <w:rsid w:val="00497566"/>
    <w:rsid w:val="004979CB"/>
    <w:rsid w:val="00497D63"/>
    <w:rsid w:val="004A02A4"/>
    <w:rsid w:val="004A51E9"/>
    <w:rsid w:val="004A654F"/>
    <w:rsid w:val="004A7BCF"/>
    <w:rsid w:val="004B09CF"/>
    <w:rsid w:val="004B0E26"/>
    <w:rsid w:val="004B4AF9"/>
    <w:rsid w:val="004B4F68"/>
    <w:rsid w:val="004B58AE"/>
    <w:rsid w:val="004B6BB6"/>
    <w:rsid w:val="004C3F91"/>
    <w:rsid w:val="004C4B31"/>
    <w:rsid w:val="004C7070"/>
    <w:rsid w:val="004C70CA"/>
    <w:rsid w:val="004C7E3C"/>
    <w:rsid w:val="004D2110"/>
    <w:rsid w:val="004D4A32"/>
    <w:rsid w:val="004D661D"/>
    <w:rsid w:val="004D7E7C"/>
    <w:rsid w:val="004E0299"/>
    <w:rsid w:val="004E20F2"/>
    <w:rsid w:val="004E2360"/>
    <w:rsid w:val="004E2427"/>
    <w:rsid w:val="004E315D"/>
    <w:rsid w:val="004E509B"/>
    <w:rsid w:val="004F3B4A"/>
    <w:rsid w:val="004F4A3A"/>
    <w:rsid w:val="004F576A"/>
    <w:rsid w:val="004F5D60"/>
    <w:rsid w:val="004F66B3"/>
    <w:rsid w:val="005006BF"/>
    <w:rsid w:val="00500866"/>
    <w:rsid w:val="00500C3E"/>
    <w:rsid w:val="005014D0"/>
    <w:rsid w:val="00501D07"/>
    <w:rsid w:val="00501FF0"/>
    <w:rsid w:val="00503791"/>
    <w:rsid w:val="00503E0A"/>
    <w:rsid w:val="00504B6B"/>
    <w:rsid w:val="00506EEE"/>
    <w:rsid w:val="005105A4"/>
    <w:rsid w:val="00511BA3"/>
    <w:rsid w:val="005139EC"/>
    <w:rsid w:val="00514EA6"/>
    <w:rsid w:val="0051542B"/>
    <w:rsid w:val="005171F0"/>
    <w:rsid w:val="00517E5E"/>
    <w:rsid w:val="0052112C"/>
    <w:rsid w:val="00525B74"/>
    <w:rsid w:val="00531E1A"/>
    <w:rsid w:val="00535990"/>
    <w:rsid w:val="005445D9"/>
    <w:rsid w:val="0054493F"/>
    <w:rsid w:val="005459AC"/>
    <w:rsid w:val="00546151"/>
    <w:rsid w:val="0054698B"/>
    <w:rsid w:val="00547B96"/>
    <w:rsid w:val="00547E01"/>
    <w:rsid w:val="00552C9C"/>
    <w:rsid w:val="0055314B"/>
    <w:rsid w:val="00553A9F"/>
    <w:rsid w:val="00555AD6"/>
    <w:rsid w:val="00556A16"/>
    <w:rsid w:val="00561684"/>
    <w:rsid w:val="005621C3"/>
    <w:rsid w:val="00562D35"/>
    <w:rsid w:val="005630AC"/>
    <w:rsid w:val="0056415C"/>
    <w:rsid w:val="00564994"/>
    <w:rsid w:val="00564F42"/>
    <w:rsid w:val="00565E63"/>
    <w:rsid w:val="00565FF9"/>
    <w:rsid w:val="00566CE6"/>
    <w:rsid w:val="005672D6"/>
    <w:rsid w:val="00570C52"/>
    <w:rsid w:val="00571505"/>
    <w:rsid w:val="00571B67"/>
    <w:rsid w:val="00571DBB"/>
    <w:rsid w:val="005745EC"/>
    <w:rsid w:val="00575C58"/>
    <w:rsid w:val="0057769B"/>
    <w:rsid w:val="00581039"/>
    <w:rsid w:val="00582B28"/>
    <w:rsid w:val="0058300E"/>
    <w:rsid w:val="0058559A"/>
    <w:rsid w:val="0058622D"/>
    <w:rsid w:val="00592A16"/>
    <w:rsid w:val="00592B30"/>
    <w:rsid w:val="00594AF8"/>
    <w:rsid w:val="00594D4D"/>
    <w:rsid w:val="00596450"/>
    <w:rsid w:val="005973DC"/>
    <w:rsid w:val="00597EEA"/>
    <w:rsid w:val="005A10A1"/>
    <w:rsid w:val="005A2ADE"/>
    <w:rsid w:val="005B1037"/>
    <w:rsid w:val="005B168A"/>
    <w:rsid w:val="005B17FD"/>
    <w:rsid w:val="005B3042"/>
    <w:rsid w:val="005B695C"/>
    <w:rsid w:val="005C25F4"/>
    <w:rsid w:val="005C62B2"/>
    <w:rsid w:val="005D293C"/>
    <w:rsid w:val="005D72F6"/>
    <w:rsid w:val="005D7E9B"/>
    <w:rsid w:val="005E1ED5"/>
    <w:rsid w:val="005E20B1"/>
    <w:rsid w:val="005E236D"/>
    <w:rsid w:val="005E25F9"/>
    <w:rsid w:val="005E3C83"/>
    <w:rsid w:val="005E4517"/>
    <w:rsid w:val="005E47F5"/>
    <w:rsid w:val="005E557B"/>
    <w:rsid w:val="005E580B"/>
    <w:rsid w:val="005E5DF4"/>
    <w:rsid w:val="005E65D7"/>
    <w:rsid w:val="005F0C3C"/>
    <w:rsid w:val="005F35B1"/>
    <w:rsid w:val="005F7C7E"/>
    <w:rsid w:val="006001D2"/>
    <w:rsid w:val="00601C66"/>
    <w:rsid w:val="006029CA"/>
    <w:rsid w:val="0060331C"/>
    <w:rsid w:val="00603A56"/>
    <w:rsid w:val="006044EF"/>
    <w:rsid w:val="0060527D"/>
    <w:rsid w:val="00605DEF"/>
    <w:rsid w:val="00606BC9"/>
    <w:rsid w:val="00607F5B"/>
    <w:rsid w:val="00607F72"/>
    <w:rsid w:val="0061135F"/>
    <w:rsid w:val="006116AA"/>
    <w:rsid w:val="00611902"/>
    <w:rsid w:val="00611C05"/>
    <w:rsid w:val="006135B6"/>
    <w:rsid w:val="00614CF7"/>
    <w:rsid w:val="00615ACA"/>
    <w:rsid w:val="0061723C"/>
    <w:rsid w:val="00617C14"/>
    <w:rsid w:val="0062069C"/>
    <w:rsid w:val="00621BC6"/>
    <w:rsid w:val="00622131"/>
    <w:rsid w:val="00624425"/>
    <w:rsid w:val="0062442F"/>
    <w:rsid w:val="00625365"/>
    <w:rsid w:val="006258A7"/>
    <w:rsid w:val="006261D7"/>
    <w:rsid w:val="006272F8"/>
    <w:rsid w:val="006301BB"/>
    <w:rsid w:val="00633F3E"/>
    <w:rsid w:val="00634A28"/>
    <w:rsid w:val="00634D8B"/>
    <w:rsid w:val="006352C6"/>
    <w:rsid w:val="00635FD6"/>
    <w:rsid w:val="006360C2"/>
    <w:rsid w:val="00637F60"/>
    <w:rsid w:val="006400E8"/>
    <w:rsid w:val="0064165B"/>
    <w:rsid w:val="00643497"/>
    <w:rsid w:val="00645EAF"/>
    <w:rsid w:val="00645F57"/>
    <w:rsid w:val="006465A5"/>
    <w:rsid w:val="00646A66"/>
    <w:rsid w:val="00647117"/>
    <w:rsid w:val="006500CE"/>
    <w:rsid w:val="006504B8"/>
    <w:rsid w:val="006511A5"/>
    <w:rsid w:val="00652D6C"/>
    <w:rsid w:val="00653A5E"/>
    <w:rsid w:val="00653AB8"/>
    <w:rsid w:val="00653F0D"/>
    <w:rsid w:val="00653FE2"/>
    <w:rsid w:val="00655C67"/>
    <w:rsid w:val="00656319"/>
    <w:rsid w:val="00656B93"/>
    <w:rsid w:val="00657352"/>
    <w:rsid w:val="006618A0"/>
    <w:rsid w:val="006655D8"/>
    <w:rsid w:val="00671E39"/>
    <w:rsid w:val="00675E22"/>
    <w:rsid w:val="006808EE"/>
    <w:rsid w:val="00680F10"/>
    <w:rsid w:val="00682841"/>
    <w:rsid w:val="006837BE"/>
    <w:rsid w:val="006846B0"/>
    <w:rsid w:val="006856C3"/>
    <w:rsid w:val="0069050F"/>
    <w:rsid w:val="00693235"/>
    <w:rsid w:val="00693DDC"/>
    <w:rsid w:val="00695F41"/>
    <w:rsid w:val="006A0C27"/>
    <w:rsid w:val="006A2556"/>
    <w:rsid w:val="006A41E8"/>
    <w:rsid w:val="006A42A6"/>
    <w:rsid w:val="006A626C"/>
    <w:rsid w:val="006A7435"/>
    <w:rsid w:val="006B0AAA"/>
    <w:rsid w:val="006B13BB"/>
    <w:rsid w:val="006B249A"/>
    <w:rsid w:val="006B2F61"/>
    <w:rsid w:val="006C09B5"/>
    <w:rsid w:val="006C0B9B"/>
    <w:rsid w:val="006C1751"/>
    <w:rsid w:val="006C5011"/>
    <w:rsid w:val="006C7E49"/>
    <w:rsid w:val="006D0484"/>
    <w:rsid w:val="006D0D4F"/>
    <w:rsid w:val="006D1CD8"/>
    <w:rsid w:val="006D2EBC"/>
    <w:rsid w:val="006D4A7A"/>
    <w:rsid w:val="006D55AF"/>
    <w:rsid w:val="006D56DE"/>
    <w:rsid w:val="006D583B"/>
    <w:rsid w:val="006D5AAD"/>
    <w:rsid w:val="006D659D"/>
    <w:rsid w:val="006D71B0"/>
    <w:rsid w:val="006E0599"/>
    <w:rsid w:val="006E3A02"/>
    <w:rsid w:val="006E4690"/>
    <w:rsid w:val="006E4A81"/>
    <w:rsid w:val="006F1B51"/>
    <w:rsid w:val="006F35AB"/>
    <w:rsid w:val="006F3CE0"/>
    <w:rsid w:val="006F5341"/>
    <w:rsid w:val="006F6302"/>
    <w:rsid w:val="007007B6"/>
    <w:rsid w:val="00702E9B"/>
    <w:rsid w:val="00703C15"/>
    <w:rsid w:val="00707A21"/>
    <w:rsid w:val="00711420"/>
    <w:rsid w:val="007116CF"/>
    <w:rsid w:val="00714344"/>
    <w:rsid w:val="0071596A"/>
    <w:rsid w:val="007159BE"/>
    <w:rsid w:val="00716E51"/>
    <w:rsid w:val="00717E04"/>
    <w:rsid w:val="00720FA2"/>
    <w:rsid w:val="0072287A"/>
    <w:rsid w:val="00722F00"/>
    <w:rsid w:val="007230F3"/>
    <w:rsid w:val="00725E90"/>
    <w:rsid w:val="0072670F"/>
    <w:rsid w:val="00726C2A"/>
    <w:rsid w:val="00726E7D"/>
    <w:rsid w:val="00730579"/>
    <w:rsid w:val="007310B7"/>
    <w:rsid w:val="00731BC3"/>
    <w:rsid w:val="007321BF"/>
    <w:rsid w:val="0073224C"/>
    <w:rsid w:val="00732899"/>
    <w:rsid w:val="007344F8"/>
    <w:rsid w:val="007361BA"/>
    <w:rsid w:val="00736973"/>
    <w:rsid w:val="0074061D"/>
    <w:rsid w:val="00741CC9"/>
    <w:rsid w:val="007438C6"/>
    <w:rsid w:val="00744291"/>
    <w:rsid w:val="00747E1C"/>
    <w:rsid w:val="00750717"/>
    <w:rsid w:val="00750ABC"/>
    <w:rsid w:val="00750DA3"/>
    <w:rsid w:val="00751D98"/>
    <w:rsid w:val="00752194"/>
    <w:rsid w:val="007525E5"/>
    <w:rsid w:val="00753940"/>
    <w:rsid w:val="00754371"/>
    <w:rsid w:val="0075610A"/>
    <w:rsid w:val="007561C1"/>
    <w:rsid w:val="00757234"/>
    <w:rsid w:val="00757E6F"/>
    <w:rsid w:val="00764513"/>
    <w:rsid w:val="00764A7C"/>
    <w:rsid w:val="007674B7"/>
    <w:rsid w:val="00772405"/>
    <w:rsid w:val="00773C75"/>
    <w:rsid w:val="00775160"/>
    <w:rsid w:val="00775813"/>
    <w:rsid w:val="00777EC2"/>
    <w:rsid w:val="007826EA"/>
    <w:rsid w:val="00782D32"/>
    <w:rsid w:val="00785814"/>
    <w:rsid w:val="0078733C"/>
    <w:rsid w:val="00787A57"/>
    <w:rsid w:val="00787D22"/>
    <w:rsid w:val="0079015C"/>
    <w:rsid w:val="00790428"/>
    <w:rsid w:val="00791AF7"/>
    <w:rsid w:val="007971EA"/>
    <w:rsid w:val="00797544"/>
    <w:rsid w:val="007A08F8"/>
    <w:rsid w:val="007A273E"/>
    <w:rsid w:val="007A2EA9"/>
    <w:rsid w:val="007A3134"/>
    <w:rsid w:val="007A3E5F"/>
    <w:rsid w:val="007A5CBB"/>
    <w:rsid w:val="007A7402"/>
    <w:rsid w:val="007B5B6B"/>
    <w:rsid w:val="007B6933"/>
    <w:rsid w:val="007C0A8C"/>
    <w:rsid w:val="007C1423"/>
    <w:rsid w:val="007C1FEF"/>
    <w:rsid w:val="007C2EF1"/>
    <w:rsid w:val="007C3D56"/>
    <w:rsid w:val="007C477D"/>
    <w:rsid w:val="007C58A7"/>
    <w:rsid w:val="007C6341"/>
    <w:rsid w:val="007C78C3"/>
    <w:rsid w:val="007C7B64"/>
    <w:rsid w:val="007C7BEF"/>
    <w:rsid w:val="007D0645"/>
    <w:rsid w:val="007D3920"/>
    <w:rsid w:val="007D684E"/>
    <w:rsid w:val="007D708C"/>
    <w:rsid w:val="007E1634"/>
    <w:rsid w:val="007E17B5"/>
    <w:rsid w:val="007E2476"/>
    <w:rsid w:val="007E3F5C"/>
    <w:rsid w:val="007E51A4"/>
    <w:rsid w:val="007E59BF"/>
    <w:rsid w:val="007E5C3B"/>
    <w:rsid w:val="007F00C7"/>
    <w:rsid w:val="007F2115"/>
    <w:rsid w:val="007F3D7B"/>
    <w:rsid w:val="007F42CB"/>
    <w:rsid w:val="007F5CB6"/>
    <w:rsid w:val="00800738"/>
    <w:rsid w:val="00800CA8"/>
    <w:rsid w:val="008012BD"/>
    <w:rsid w:val="00804317"/>
    <w:rsid w:val="008050F4"/>
    <w:rsid w:val="00806F86"/>
    <w:rsid w:val="008109C9"/>
    <w:rsid w:val="0081141A"/>
    <w:rsid w:val="00811BB1"/>
    <w:rsid w:val="00811D81"/>
    <w:rsid w:val="00812E9B"/>
    <w:rsid w:val="008157FF"/>
    <w:rsid w:val="00815D30"/>
    <w:rsid w:val="0081787B"/>
    <w:rsid w:val="008179E7"/>
    <w:rsid w:val="00817A1F"/>
    <w:rsid w:val="0082025C"/>
    <w:rsid w:val="0082190B"/>
    <w:rsid w:val="00821944"/>
    <w:rsid w:val="008242DA"/>
    <w:rsid w:val="008255DF"/>
    <w:rsid w:val="00827B05"/>
    <w:rsid w:val="008311EB"/>
    <w:rsid w:val="00831F80"/>
    <w:rsid w:val="008352DC"/>
    <w:rsid w:val="00836757"/>
    <w:rsid w:val="00841E2E"/>
    <w:rsid w:val="00843A5B"/>
    <w:rsid w:val="008442DB"/>
    <w:rsid w:val="00846CDD"/>
    <w:rsid w:val="00850DAC"/>
    <w:rsid w:val="00853C37"/>
    <w:rsid w:val="00854000"/>
    <w:rsid w:val="00854F2B"/>
    <w:rsid w:val="00855E95"/>
    <w:rsid w:val="0085637F"/>
    <w:rsid w:val="00856FE6"/>
    <w:rsid w:val="00857A0A"/>
    <w:rsid w:val="00857CFC"/>
    <w:rsid w:val="00862FF4"/>
    <w:rsid w:val="00863FDF"/>
    <w:rsid w:val="008662B3"/>
    <w:rsid w:val="008675A2"/>
    <w:rsid w:val="00867E78"/>
    <w:rsid w:val="008703BA"/>
    <w:rsid w:val="00873D93"/>
    <w:rsid w:val="00873DEB"/>
    <w:rsid w:val="00874AB3"/>
    <w:rsid w:val="00876B84"/>
    <w:rsid w:val="0087733A"/>
    <w:rsid w:val="00877CE7"/>
    <w:rsid w:val="00880B96"/>
    <w:rsid w:val="00883344"/>
    <w:rsid w:val="00886889"/>
    <w:rsid w:val="00893BC9"/>
    <w:rsid w:val="00894B53"/>
    <w:rsid w:val="00897437"/>
    <w:rsid w:val="008A0191"/>
    <w:rsid w:val="008A193A"/>
    <w:rsid w:val="008A335A"/>
    <w:rsid w:val="008A3436"/>
    <w:rsid w:val="008A4541"/>
    <w:rsid w:val="008A7843"/>
    <w:rsid w:val="008A7F5A"/>
    <w:rsid w:val="008B1228"/>
    <w:rsid w:val="008B46C5"/>
    <w:rsid w:val="008C0C88"/>
    <w:rsid w:val="008C4918"/>
    <w:rsid w:val="008C4A38"/>
    <w:rsid w:val="008C5A1D"/>
    <w:rsid w:val="008C5F47"/>
    <w:rsid w:val="008D0284"/>
    <w:rsid w:val="008D0D43"/>
    <w:rsid w:val="008D2469"/>
    <w:rsid w:val="008D25A2"/>
    <w:rsid w:val="008D325B"/>
    <w:rsid w:val="008D43F9"/>
    <w:rsid w:val="008D53C0"/>
    <w:rsid w:val="008D57A8"/>
    <w:rsid w:val="008D68C7"/>
    <w:rsid w:val="008D7E21"/>
    <w:rsid w:val="008E0195"/>
    <w:rsid w:val="008F3AE9"/>
    <w:rsid w:val="008F5491"/>
    <w:rsid w:val="008F624C"/>
    <w:rsid w:val="008F6D93"/>
    <w:rsid w:val="009003C1"/>
    <w:rsid w:val="00902211"/>
    <w:rsid w:val="009071F4"/>
    <w:rsid w:val="00907E91"/>
    <w:rsid w:val="009123A0"/>
    <w:rsid w:val="009128CD"/>
    <w:rsid w:val="009147CD"/>
    <w:rsid w:val="0091705E"/>
    <w:rsid w:val="009205F7"/>
    <w:rsid w:val="009244ED"/>
    <w:rsid w:val="00927055"/>
    <w:rsid w:val="00930296"/>
    <w:rsid w:val="00933467"/>
    <w:rsid w:val="00934A5E"/>
    <w:rsid w:val="00936577"/>
    <w:rsid w:val="0093738A"/>
    <w:rsid w:val="009379AA"/>
    <w:rsid w:val="009405AB"/>
    <w:rsid w:val="0094154C"/>
    <w:rsid w:val="00942CC2"/>
    <w:rsid w:val="0094315F"/>
    <w:rsid w:val="00943343"/>
    <w:rsid w:val="009438F2"/>
    <w:rsid w:val="00945C16"/>
    <w:rsid w:val="009468C5"/>
    <w:rsid w:val="0095065A"/>
    <w:rsid w:val="00952CF1"/>
    <w:rsid w:val="0095386E"/>
    <w:rsid w:val="009563ED"/>
    <w:rsid w:val="00956622"/>
    <w:rsid w:val="0095783E"/>
    <w:rsid w:val="009579A3"/>
    <w:rsid w:val="00960B29"/>
    <w:rsid w:val="0096137F"/>
    <w:rsid w:val="00961862"/>
    <w:rsid w:val="009625AE"/>
    <w:rsid w:val="0096306A"/>
    <w:rsid w:val="00963670"/>
    <w:rsid w:val="0097339F"/>
    <w:rsid w:val="00975A26"/>
    <w:rsid w:val="00976F96"/>
    <w:rsid w:val="0098159B"/>
    <w:rsid w:val="00981A59"/>
    <w:rsid w:val="00981A9D"/>
    <w:rsid w:val="009825DA"/>
    <w:rsid w:val="00982B20"/>
    <w:rsid w:val="009838A7"/>
    <w:rsid w:val="0098394B"/>
    <w:rsid w:val="00984D3A"/>
    <w:rsid w:val="009857E9"/>
    <w:rsid w:val="00985B13"/>
    <w:rsid w:val="00985B1D"/>
    <w:rsid w:val="00985EAC"/>
    <w:rsid w:val="00986A7D"/>
    <w:rsid w:val="009909F9"/>
    <w:rsid w:val="009911F7"/>
    <w:rsid w:val="009918AD"/>
    <w:rsid w:val="009929DB"/>
    <w:rsid w:val="009940DB"/>
    <w:rsid w:val="0099677C"/>
    <w:rsid w:val="009A00F1"/>
    <w:rsid w:val="009A06E9"/>
    <w:rsid w:val="009A200C"/>
    <w:rsid w:val="009A24E5"/>
    <w:rsid w:val="009A345C"/>
    <w:rsid w:val="009A3475"/>
    <w:rsid w:val="009A5540"/>
    <w:rsid w:val="009B1F7F"/>
    <w:rsid w:val="009B2AB1"/>
    <w:rsid w:val="009B3489"/>
    <w:rsid w:val="009B36B6"/>
    <w:rsid w:val="009B4E4D"/>
    <w:rsid w:val="009B5D20"/>
    <w:rsid w:val="009B6352"/>
    <w:rsid w:val="009B6C96"/>
    <w:rsid w:val="009B7D38"/>
    <w:rsid w:val="009C1917"/>
    <w:rsid w:val="009C1DC3"/>
    <w:rsid w:val="009C2438"/>
    <w:rsid w:val="009C26B0"/>
    <w:rsid w:val="009C33B4"/>
    <w:rsid w:val="009C38CA"/>
    <w:rsid w:val="009C3CDF"/>
    <w:rsid w:val="009D018F"/>
    <w:rsid w:val="009D1EF6"/>
    <w:rsid w:val="009D6A4B"/>
    <w:rsid w:val="009E46ED"/>
    <w:rsid w:val="009E6A9D"/>
    <w:rsid w:val="009F0D2D"/>
    <w:rsid w:val="009F4F28"/>
    <w:rsid w:val="009F51D3"/>
    <w:rsid w:val="009F52F0"/>
    <w:rsid w:val="009F5C04"/>
    <w:rsid w:val="00A00A2D"/>
    <w:rsid w:val="00A01123"/>
    <w:rsid w:val="00A0129A"/>
    <w:rsid w:val="00A01501"/>
    <w:rsid w:val="00A03C34"/>
    <w:rsid w:val="00A046E1"/>
    <w:rsid w:val="00A04CE0"/>
    <w:rsid w:val="00A06725"/>
    <w:rsid w:val="00A07C5A"/>
    <w:rsid w:val="00A11376"/>
    <w:rsid w:val="00A116F7"/>
    <w:rsid w:val="00A11CFA"/>
    <w:rsid w:val="00A1250A"/>
    <w:rsid w:val="00A13D01"/>
    <w:rsid w:val="00A1475A"/>
    <w:rsid w:val="00A1597E"/>
    <w:rsid w:val="00A166FC"/>
    <w:rsid w:val="00A1679C"/>
    <w:rsid w:val="00A2318C"/>
    <w:rsid w:val="00A23937"/>
    <w:rsid w:val="00A23C73"/>
    <w:rsid w:val="00A256CC"/>
    <w:rsid w:val="00A301D4"/>
    <w:rsid w:val="00A31A6A"/>
    <w:rsid w:val="00A31AD8"/>
    <w:rsid w:val="00A34C1A"/>
    <w:rsid w:val="00A41AB3"/>
    <w:rsid w:val="00A41BB4"/>
    <w:rsid w:val="00A4331D"/>
    <w:rsid w:val="00A44B02"/>
    <w:rsid w:val="00A44B5C"/>
    <w:rsid w:val="00A469D4"/>
    <w:rsid w:val="00A46D29"/>
    <w:rsid w:val="00A476B2"/>
    <w:rsid w:val="00A5309D"/>
    <w:rsid w:val="00A579E2"/>
    <w:rsid w:val="00A60D9A"/>
    <w:rsid w:val="00A65F4F"/>
    <w:rsid w:val="00A666BE"/>
    <w:rsid w:val="00A67FEB"/>
    <w:rsid w:val="00A71A12"/>
    <w:rsid w:val="00A72CB3"/>
    <w:rsid w:val="00A72FE0"/>
    <w:rsid w:val="00A7414B"/>
    <w:rsid w:val="00A74407"/>
    <w:rsid w:val="00A7491F"/>
    <w:rsid w:val="00A76191"/>
    <w:rsid w:val="00A771EA"/>
    <w:rsid w:val="00A77966"/>
    <w:rsid w:val="00A779EB"/>
    <w:rsid w:val="00A803C0"/>
    <w:rsid w:val="00A82ECB"/>
    <w:rsid w:val="00A84406"/>
    <w:rsid w:val="00A8488C"/>
    <w:rsid w:val="00A85819"/>
    <w:rsid w:val="00A87C88"/>
    <w:rsid w:val="00A91654"/>
    <w:rsid w:val="00A91817"/>
    <w:rsid w:val="00A91DA9"/>
    <w:rsid w:val="00A943FB"/>
    <w:rsid w:val="00A95F3F"/>
    <w:rsid w:val="00A968F8"/>
    <w:rsid w:val="00AA09A7"/>
    <w:rsid w:val="00AA0ED6"/>
    <w:rsid w:val="00AA171B"/>
    <w:rsid w:val="00AA1946"/>
    <w:rsid w:val="00AA2B7C"/>
    <w:rsid w:val="00AA34DB"/>
    <w:rsid w:val="00AA3FC1"/>
    <w:rsid w:val="00AA486B"/>
    <w:rsid w:val="00AA4CF0"/>
    <w:rsid w:val="00AB0429"/>
    <w:rsid w:val="00AB13B7"/>
    <w:rsid w:val="00AB1943"/>
    <w:rsid w:val="00AB3220"/>
    <w:rsid w:val="00AB35E0"/>
    <w:rsid w:val="00AB4775"/>
    <w:rsid w:val="00AB48F6"/>
    <w:rsid w:val="00AB4D7A"/>
    <w:rsid w:val="00AB7500"/>
    <w:rsid w:val="00AC06A9"/>
    <w:rsid w:val="00AC124B"/>
    <w:rsid w:val="00AC1518"/>
    <w:rsid w:val="00AC29FA"/>
    <w:rsid w:val="00AC2BAC"/>
    <w:rsid w:val="00AC2E60"/>
    <w:rsid w:val="00AC34D1"/>
    <w:rsid w:val="00AC372D"/>
    <w:rsid w:val="00AC3D07"/>
    <w:rsid w:val="00AC43AB"/>
    <w:rsid w:val="00AC5CC7"/>
    <w:rsid w:val="00AC7758"/>
    <w:rsid w:val="00AC7D06"/>
    <w:rsid w:val="00AD008A"/>
    <w:rsid w:val="00AD184B"/>
    <w:rsid w:val="00AD2008"/>
    <w:rsid w:val="00AD3BC1"/>
    <w:rsid w:val="00AD4C0B"/>
    <w:rsid w:val="00AD6245"/>
    <w:rsid w:val="00AD6892"/>
    <w:rsid w:val="00AD6F55"/>
    <w:rsid w:val="00AD6FC0"/>
    <w:rsid w:val="00AE079D"/>
    <w:rsid w:val="00AE417E"/>
    <w:rsid w:val="00AE6199"/>
    <w:rsid w:val="00AF1344"/>
    <w:rsid w:val="00AF164C"/>
    <w:rsid w:val="00AF40C2"/>
    <w:rsid w:val="00AF4B65"/>
    <w:rsid w:val="00AF689B"/>
    <w:rsid w:val="00AF75EC"/>
    <w:rsid w:val="00B01973"/>
    <w:rsid w:val="00B026FD"/>
    <w:rsid w:val="00B03A4B"/>
    <w:rsid w:val="00B04889"/>
    <w:rsid w:val="00B0494B"/>
    <w:rsid w:val="00B04A43"/>
    <w:rsid w:val="00B050C5"/>
    <w:rsid w:val="00B060BD"/>
    <w:rsid w:val="00B07A67"/>
    <w:rsid w:val="00B114F4"/>
    <w:rsid w:val="00B12646"/>
    <w:rsid w:val="00B132D7"/>
    <w:rsid w:val="00B164AA"/>
    <w:rsid w:val="00B20723"/>
    <w:rsid w:val="00B23182"/>
    <w:rsid w:val="00B24AB8"/>
    <w:rsid w:val="00B2567F"/>
    <w:rsid w:val="00B339DA"/>
    <w:rsid w:val="00B33FEF"/>
    <w:rsid w:val="00B402F1"/>
    <w:rsid w:val="00B40385"/>
    <w:rsid w:val="00B40D1E"/>
    <w:rsid w:val="00B41377"/>
    <w:rsid w:val="00B41AAD"/>
    <w:rsid w:val="00B41C09"/>
    <w:rsid w:val="00B41FF9"/>
    <w:rsid w:val="00B42B67"/>
    <w:rsid w:val="00B4337C"/>
    <w:rsid w:val="00B4353C"/>
    <w:rsid w:val="00B43C83"/>
    <w:rsid w:val="00B517D1"/>
    <w:rsid w:val="00B51C5F"/>
    <w:rsid w:val="00B53B94"/>
    <w:rsid w:val="00B540ED"/>
    <w:rsid w:val="00B54DE5"/>
    <w:rsid w:val="00B54FBE"/>
    <w:rsid w:val="00B55AAC"/>
    <w:rsid w:val="00B55C0D"/>
    <w:rsid w:val="00B60003"/>
    <w:rsid w:val="00B603FE"/>
    <w:rsid w:val="00B607AA"/>
    <w:rsid w:val="00B6184F"/>
    <w:rsid w:val="00B61F54"/>
    <w:rsid w:val="00B6414C"/>
    <w:rsid w:val="00B6427E"/>
    <w:rsid w:val="00B65082"/>
    <w:rsid w:val="00B6576A"/>
    <w:rsid w:val="00B65DD5"/>
    <w:rsid w:val="00B67402"/>
    <w:rsid w:val="00B754A8"/>
    <w:rsid w:val="00B75EE3"/>
    <w:rsid w:val="00B810CB"/>
    <w:rsid w:val="00B81799"/>
    <w:rsid w:val="00B82B07"/>
    <w:rsid w:val="00B852DE"/>
    <w:rsid w:val="00B873EF"/>
    <w:rsid w:val="00B878B3"/>
    <w:rsid w:val="00B87BFE"/>
    <w:rsid w:val="00B903D0"/>
    <w:rsid w:val="00B9080B"/>
    <w:rsid w:val="00B9267E"/>
    <w:rsid w:val="00B93592"/>
    <w:rsid w:val="00B93BD8"/>
    <w:rsid w:val="00B94047"/>
    <w:rsid w:val="00BA046F"/>
    <w:rsid w:val="00BA0870"/>
    <w:rsid w:val="00BA3B0C"/>
    <w:rsid w:val="00BA3E0D"/>
    <w:rsid w:val="00BA421C"/>
    <w:rsid w:val="00BA4DC9"/>
    <w:rsid w:val="00BA622D"/>
    <w:rsid w:val="00BA6744"/>
    <w:rsid w:val="00BB03F6"/>
    <w:rsid w:val="00BB174B"/>
    <w:rsid w:val="00BB3A85"/>
    <w:rsid w:val="00BB3BA1"/>
    <w:rsid w:val="00BB3CE1"/>
    <w:rsid w:val="00BB6004"/>
    <w:rsid w:val="00BB6514"/>
    <w:rsid w:val="00BB675B"/>
    <w:rsid w:val="00BC0449"/>
    <w:rsid w:val="00BC0C70"/>
    <w:rsid w:val="00BC718A"/>
    <w:rsid w:val="00BD528A"/>
    <w:rsid w:val="00BD7C1C"/>
    <w:rsid w:val="00BE2786"/>
    <w:rsid w:val="00BE2F26"/>
    <w:rsid w:val="00BE6809"/>
    <w:rsid w:val="00BE7F5F"/>
    <w:rsid w:val="00BF1189"/>
    <w:rsid w:val="00BF393B"/>
    <w:rsid w:val="00BF44D0"/>
    <w:rsid w:val="00BF5C23"/>
    <w:rsid w:val="00BF66E4"/>
    <w:rsid w:val="00BF6C50"/>
    <w:rsid w:val="00BF6FB0"/>
    <w:rsid w:val="00BF7A66"/>
    <w:rsid w:val="00C01702"/>
    <w:rsid w:val="00C01A7B"/>
    <w:rsid w:val="00C02A9C"/>
    <w:rsid w:val="00C04513"/>
    <w:rsid w:val="00C0654E"/>
    <w:rsid w:val="00C07416"/>
    <w:rsid w:val="00C07A22"/>
    <w:rsid w:val="00C10AE8"/>
    <w:rsid w:val="00C136B3"/>
    <w:rsid w:val="00C14090"/>
    <w:rsid w:val="00C1547A"/>
    <w:rsid w:val="00C16645"/>
    <w:rsid w:val="00C172DC"/>
    <w:rsid w:val="00C17BE8"/>
    <w:rsid w:val="00C17CF6"/>
    <w:rsid w:val="00C202C3"/>
    <w:rsid w:val="00C21449"/>
    <w:rsid w:val="00C21A19"/>
    <w:rsid w:val="00C24E30"/>
    <w:rsid w:val="00C24FA5"/>
    <w:rsid w:val="00C25469"/>
    <w:rsid w:val="00C27DB1"/>
    <w:rsid w:val="00C30881"/>
    <w:rsid w:val="00C311D7"/>
    <w:rsid w:val="00C31514"/>
    <w:rsid w:val="00C31862"/>
    <w:rsid w:val="00C32329"/>
    <w:rsid w:val="00C34102"/>
    <w:rsid w:val="00C368DA"/>
    <w:rsid w:val="00C3692B"/>
    <w:rsid w:val="00C41889"/>
    <w:rsid w:val="00C42155"/>
    <w:rsid w:val="00C446F9"/>
    <w:rsid w:val="00C45BB0"/>
    <w:rsid w:val="00C46B18"/>
    <w:rsid w:val="00C47B78"/>
    <w:rsid w:val="00C5148A"/>
    <w:rsid w:val="00C517D1"/>
    <w:rsid w:val="00C54CD0"/>
    <w:rsid w:val="00C55406"/>
    <w:rsid w:val="00C56557"/>
    <w:rsid w:val="00C573CC"/>
    <w:rsid w:val="00C574DD"/>
    <w:rsid w:val="00C5767B"/>
    <w:rsid w:val="00C61D51"/>
    <w:rsid w:val="00C61E7C"/>
    <w:rsid w:val="00C633FF"/>
    <w:rsid w:val="00C63655"/>
    <w:rsid w:val="00C651A3"/>
    <w:rsid w:val="00C66F18"/>
    <w:rsid w:val="00C70B75"/>
    <w:rsid w:val="00C7345D"/>
    <w:rsid w:val="00C73BCA"/>
    <w:rsid w:val="00C746AC"/>
    <w:rsid w:val="00C77C9F"/>
    <w:rsid w:val="00C77E03"/>
    <w:rsid w:val="00C804AC"/>
    <w:rsid w:val="00C8168F"/>
    <w:rsid w:val="00C828C5"/>
    <w:rsid w:val="00C830F9"/>
    <w:rsid w:val="00C8372C"/>
    <w:rsid w:val="00C84EB9"/>
    <w:rsid w:val="00C85A4A"/>
    <w:rsid w:val="00C91709"/>
    <w:rsid w:val="00C95330"/>
    <w:rsid w:val="00C955E9"/>
    <w:rsid w:val="00CA1934"/>
    <w:rsid w:val="00CA1B98"/>
    <w:rsid w:val="00CA2A31"/>
    <w:rsid w:val="00CA30F3"/>
    <w:rsid w:val="00CA6FE0"/>
    <w:rsid w:val="00CA7347"/>
    <w:rsid w:val="00CB2060"/>
    <w:rsid w:val="00CB28AA"/>
    <w:rsid w:val="00CB2A98"/>
    <w:rsid w:val="00CB35C8"/>
    <w:rsid w:val="00CB35D2"/>
    <w:rsid w:val="00CB543C"/>
    <w:rsid w:val="00CB56E0"/>
    <w:rsid w:val="00CB6130"/>
    <w:rsid w:val="00CB61EE"/>
    <w:rsid w:val="00CC0AE0"/>
    <w:rsid w:val="00CC1B9A"/>
    <w:rsid w:val="00CC29DD"/>
    <w:rsid w:val="00CC32B3"/>
    <w:rsid w:val="00CC43DF"/>
    <w:rsid w:val="00CC47D9"/>
    <w:rsid w:val="00CC72EE"/>
    <w:rsid w:val="00CD0AE6"/>
    <w:rsid w:val="00CD7331"/>
    <w:rsid w:val="00CE0CEE"/>
    <w:rsid w:val="00CE12EC"/>
    <w:rsid w:val="00CE1E5E"/>
    <w:rsid w:val="00CE25E6"/>
    <w:rsid w:val="00CE2A5A"/>
    <w:rsid w:val="00CE3FE8"/>
    <w:rsid w:val="00CE4FE3"/>
    <w:rsid w:val="00CE6713"/>
    <w:rsid w:val="00CE6AA7"/>
    <w:rsid w:val="00CE6CB0"/>
    <w:rsid w:val="00CF081F"/>
    <w:rsid w:val="00CF1974"/>
    <w:rsid w:val="00CF41E2"/>
    <w:rsid w:val="00D00AD0"/>
    <w:rsid w:val="00D010D7"/>
    <w:rsid w:val="00D02440"/>
    <w:rsid w:val="00D04602"/>
    <w:rsid w:val="00D07B6D"/>
    <w:rsid w:val="00D07F02"/>
    <w:rsid w:val="00D11B9A"/>
    <w:rsid w:val="00D124FF"/>
    <w:rsid w:val="00D14439"/>
    <w:rsid w:val="00D14FDC"/>
    <w:rsid w:val="00D16D75"/>
    <w:rsid w:val="00D1757C"/>
    <w:rsid w:val="00D17785"/>
    <w:rsid w:val="00D20466"/>
    <w:rsid w:val="00D20CD4"/>
    <w:rsid w:val="00D2177C"/>
    <w:rsid w:val="00D221E8"/>
    <w:rsid w:val="00D22D13"/>
    <w:rsid w:val="00D24B3F"/>
    <w:rsid w:val="00D25E07"/>
    <w:rsid w:val="00D31C8E"/>
    <w:rsid w:val="00D34261"/>
    <w:rsid w:val="00D35D2C"/>
    <w:rsid w:val="00D372E4"/>
    <w:rsid w:val="00D4493E"/>
    <w:rsid w:val="00D4717E"/>
    <w:rsid w:val="00D5096A"/>
    <w:rsid w:val="00D50A75"/>
    <w:rsid w:val="00D50EC3"/>
    <w:rsid w:val="00D51D98"/>
    <w:rsid w:val="00D5445D"/>
    <w:rsid w:val="00D554B7"/>
    <w:rsid w:val="00D554FD"/>
    <w:rsid w:val="00D57987"/>
    <w:rsid w:val="00D60BF7"/>
    <w:rsid w:val="00D6215B"/>
    <w:rsid w:val="00D6250D"/>
    <w:rsid w:val="00D64E26"/>
    <w:rsid w:val="00D66001"/>
    <w:rsid w:val="00D66ABE"/>
    <w:rsid w:val="00D67743"/>
    <w:rsid w:val="00D7012C"/>
    <w:rsid w:val="00D7039B"/>
    <w:rsid w:val="00D72BC3"/>
    <w:rsid w:val="00D75E1F"/>
    <w:rsid w:val="00D7791A"/>
    <w:rsid w:val="00D80CBB"/>
    <w:rsid w:val="00D81F0B"/>
    <w:rsid w:val="00D82D11"/>
    <w:rsid w:val="00D82EE5"/>
    <w:rsid w:val="00D8472B"/>
    <w:rsid w:val="00D84ABC"/>
    <w:rsid w:val="00D85E49"/>
    <w:rsid w:val="00D87627"/>
    <w:rsid w:val="00D87CFC"/>
    <w:rsid w:val="00D904D7"/>
    <w:rsid w:val="00D90525"/>
    <w:rsid w:val="00D94308"/>
    <w:rsid w:val="00D95552"/>
    <w:rsid w:val="00D95801"/>
    <w:rsid w:val="00D95B7F"/>
    <w:rsid w:val="00D971EB"/>
    <w:rsid w:val="00D973B8"/>
    <w:rsid w:val="00D97737"/>
    <w:rsid w:val="00DA03AB"/>
    <w:rsid w:val="00DA0835"/>
    <w:rsid w:val="00DA3005"/>
    <w:rsid w:val="00DB05AE"/>
    <w:rsid w:val="00DB346D"/>
    <w:rsid w:val="00DC4691"/>
    <w:rsid w:val="00DC4E67"/>
    <w:rsid w:val="00DC6440"/>
    <w:rsid w:val="00DC778C"/>
    <w:rsid w:val="00DD3851"/>
    <w:rsid w:val="00DD4CC8"/>
    <w:rsid w:val="00DD7BAF"/>
    <w:rsid w:val="00DE1076"/>
    <w:rsid w:val="00DE3086"/>
    <w:rsid w:val="00DE353C"/>
    <w:rsid w:val="00DE58D8"/>
    <w:rsid w:val="00DE74FE"/>
    <w:rsid w:val="00DF0705"/>
    <w:rsid w:val="00DF0ABA"/>
    <w:rsid w:val="00DF1440"/>
    <w:rsid w:val="00DF2659"/>
    <w:rsid w:val="00DF365C"/>
    <w:rsid w:val="00DF44DB"/>
    <w:rsid w:val="00DF6FC0"/>
    <w:rsid w:val="00E0001F"/>
    <w:rsid w:val="00E01A9C"/>
    <w:rsid w:val="00E06271"/>
    <w:rsid w:val="00E06567"/>
    <w:rsid w:val="00E13A38"/>
    <w:rsid w:val="00E13D20"/>
    <w:rsid w:val="00E20EDD"/>
    <w:rsid w:val="00E22785"/>
    <w:rsid w:val="00E247B9"/>
    <w:rsid w:val="00E302F9"/>
    <w:rsid w:val="00E316F1"/>
    <w:rsid w:val="00E31EED"/>
    <w:rsid w:val="00E33174"/>
    <w:rsid w:val="00E34735"/>
    <w:rsid w:val="00E35B6F"/>
    <w:rsid w:val="00E35F19"/>
    <w:rsid w:val="00E368F6"/>
    <w:rsid w:val="00E41A89"/>
    <w:rsid w:val="00E443E8"/>
    <w:rsid w:val="00E44DAF"/>
    <w:rsid w:val="00E51F1C"/>
    <w:rsid w:val="00E52078"/>
    <w:rsid w:val="00E52A64"/>
    <w:rsid w:val="00E5431F"/>
    <w:rsid w:val="00E5625D"/>
    <w:rsid w:val="00E57CAC"/>
    <w:rsid w:val="00E62721"/>
    <w:rsid w:val="00E66563"/>
    <w:rsid w:val="00E67DEF"/>
    <w:rsid w:val="00E67FC8"/>
    <w:rsid w:val="00E70D3D"/>
    <w:rsid w:val="00E71709"/>
    <w:rsid w:val="00E75294"/>
    <w:rsid w:val="00E75709"/>
    <w:rsid w:val="00E81369"/>
    <w:rsid w:val="00E81C80"/>
    <w:rsid w:val="00E82BC5"/>
    <w:rsid w:val="00E83905"/>
    <w:rsid w:val="00E85407"/>
    <w:rsid w:val="00E85E64"/>
    <w:rsid w:val="00E90DAD"/>
    <w:rsid w:val="00E914D1"/>
    <w:rsid w:val="00E92660"/>
    <w:rsid w:val="00EA14C8"/>
    <w:rsid w:val="00EA2C8C"/>
    <w:rsid w:val="00EB15E0"/>
    <w:rsid w:val="00EB26F4"/>
    <w:rsid w:val="00EB28CF"/>
    <w:rsid w:val="00EB295B"/>
    <w:rsid w:val="00EB32A2"/>
    <w:rsid w:val="00EB3C29"/>
    <w:rsid w:val="00EB4387"/>
    <w:rsid w:val="00EB4B67"/>
    <w:rsid w:val="00EB6C41"/>
    <w:rsid w:val="00EB6CB5"/>
    <w:rsid w:val="00EB7476"/>
    <w:rsid w:val="00EC106E"/>
    <w:rsid w:val="00EC1AE7"/>
    <w:rsid w:val="00EC432D"/>
    <w:rsid w:val="00EC4448"/>
    <w:rsid w:val="00EC49D1"/>
    <w:rsid w:val="00EC52FB"/>
    <w:rsid w:val="00EC769F"/>
    <w:rsid w:val="00ED13C3"/>
    <w:rsid w:val="00ED470B"/>
    <w:rsid w:val="00ED49D5"/>
    <w:rsid w:val="00ED5B84"/>
    <w:rsid w:val="00ED6294"/>
    <w:rsid w:val="00ED72E0"/>
    <w:rsid w:val="00EE2A8C"/>
    <w:rsid w:val="00EE4833"/>
    <w:rsid w:val="00EE4ECD"/>
    <w:rsid w:val="00EE6835"/>
    <w:rsid w:val="00EE7C6B"/>
    <w:rsid w:val="00EF0D9C"/>
    <w:rsid w:val="00EF2AE8"/>
    <w:rsid w:val="00EF567A"/>
    <w:rsid w:val="00EF61CA"/>
    <w:rsid w:val="00EF6318"/>
    <w:rsid w:val="00F00DC5"/>
    <w:rsid w:val="00F01BA2"/>
    <w:rsid w:val="00F0202E"/>
    <w:rsid w:val="00F02CC7"/>
    <w:rsid w:val="00F02E1B"/>
    <w:rsid w:val="00F05032"/>
    <w:rsid w:val="00F05A23"/>
    <w:rsid w:val="00F0607C"/>
    <w:rsid w:val="00F1054F"/>
    <w:rsid w:val="00F11359"/>
    <w:rsid w:val="00F1283A"/>
    <w:rsid w:val="00F12FC5"/>
    <w:rsid w:val="00F13378"/>
    <w:rsid w:val="00F13A95"/>
    <w:rsid w:val="00F13D0A"/>
    <w:rsid w:val="00F14D01"/>
    <w:rsid w:val="00F16733"/>
    <w:rsid w:val="00F20E7B"/>
    <w:rsid w:val="00F20F70"/>
    <w:rsid w:val="00F21644"/>
    <w:rsid w:val="00F23506"/>
    <w:rsid w:val="00F23621"/>
    <w:rsid w:val="00F25761"/>
    <w:rsid w:val="00F260FB"/>
    <w:rsid w:val="00F30393"/>
    <w:rsid w:val="00F316C2"/>
    <w:rsid w:val="00F349C1"/>
    <w:rsid w:val="00F35B40"/>
    <w:rsid w:val="00F35F68"/>
    <w:rsid w:val="00F371E3"/>
    <w:rsid w:val="00F37860"/>
    <w:rsid w:val="00F37BC7"/>
    <w:rsid w:val="00F427BC"/>
    <w:rsid w:val="00F43973"/>
    <w:rsid w:val="00F443F9"/>
    <w:rsid w:val="00F457B9"/>
    <w:rsid w:val="00F5023B"/>
    <w:rsid w:val="00F5092A"/>
    <w:rsid w:val="00F549BD"/>
    <w:rsid w:val="00F54EBF"/>
    <w:rsid w:val="00F55257"/>
    <w:rsid w:val="00F5581B"/>
    <w:rsid w:val="00F55EF3"/>
    <w:rsid w:val="00F5610A"/>
    <w:rsid w:val="00F633A9"/>
    <w:rsid w:val="00F63651"/>
    <w:rsid w:val="00F63960"/>
    <w:rsid w:val="00F64B6A"/>
    <w:rsid w:val="00F64FAA"/>
    <w:rsid w:val="00F65017"/>
    <w:rsid w:val="00F6546E"/>
    <w:rsid w:val="00F66CED"/>
    <w:rsid w:val="00F70B6B"/>
    <w:rsid w:val="00F72F97"/>
    <w:rsid w:val="00F75D45"/>
    <w:rsid w:val="00F7602F"/>
    <w:rsid w:val="00F76241"/>
    <w:rsid w:val="00F7775E"/>
    <w:rsid w:val="00F77E34"/>
    <w:rsid w:val="00F811C8"/>
    <w:rsid w:val="00F82133"/>
    <w:rsid w:val="00F8326B"/>
    <w:rsid w:val="00F843CE"/>
    <w:rsid w:val="00F850AA"/>
    <w:rsid w:val="00F8792F"/>
    <w:rsid w:val="00F9000D"/>
    <w:rsid w:val="00F904EF"/>
    <w:rsid w:val="00F91175"/>
    <w:rsid w:val="00F9223E"/>
    <w:rsid w:val="00F93937"/>
    <w:rsid w:val="00F96B08"/>
    <w:rsid w:val="00F97060"/>
    <w:rsid w:val="00F970CA"/>
    <w:rsid w:val="00FA25D3"/>
    <w:rsid w:val="00FA49F9"/>
    <w:rsid w:val="00FA5B32"/>
    <w:rsid w:val="00FA63B2"/>
    <w:rsid w:val="00FA6B48"/>
    <w:rsid w:val="00FA7EBD"/>
    <w:rsid w:val="00FB00B2"/>
    <w:rsid w:val="00FB187C"/>
    <w:rsid w:val="00FB2846"/>
    <w:rsid w:val="00FB40B2"/>
    <w:rsid w:val="00FB7728"/>
    <w:rsid w:val="00FB7E95"/>
    <w:rsid w:val="00FC1757"/>
    <w:rsid w:val="00FC2886"/>
    <w:rsid w:val="00FC4221"/>
    <w:rsid w:val="00FC5C97"/>
    <w:rsid w:val="00FC6048"/>
    <w:rsid w:val="00FC6D93"/>
    <w:rsid w:val="00FC7F83"/>
    <w:rsid w:val="00FD11B2"/>
    <w:rsid w:val="00FD18BD"/>
    <w:rsid w:val="00FD24E0"/>
    <w:rsid w:val="00FD3AF2"/>
    <w:rsid w:val="00FD40FB"/>
    <w:rsid w:val="00FD4D2C"/>
    <w:rsid w:val="00FD6B36"/>
    <w:rsid w:val="00FD73D3"/>
    <w:rsid w:val="00FE1BE2"/>
    <w:rsid w:val="00FE2708"/>
    <w:rsid w:val="00FE31DA"/>
    <w:rsid w:val="00FE3372"/>
    <w:rsid w:val="00FE584E"/>
    <w:rsid w:val="00FE7798"/>
    <w:rsid w:val="00FF24B6"/>
    <w:rsid w:val="00FF2C52"/>
    <w:rsid w:val="00FF5A4F"/>
    <w:rsid w:val="00FF6527"/>
    <w:rsid w:val="00FF73C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21938"/>
  <w15:chartTrackingRefBased/>
  <w15:docId w15:val="{1CEFACBC-5871-4C38-A35E-0BCC657C8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endnote text" w:uiPriority="99"/>
    <w:lsdException w:name="Title" w:uiPriority="10" w:qFormat="1"/>
    <w:lsdException w:name="Subtitle" w:qFormat="1"/>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33743"/>
    <w:pPr>
      <w:spacing w:after="60" w:line="276" w:lineRule="auto"/>
    </w:pPr>
    <w:rPr>
      <w:rFonts w:ascii="Arial" w:hAnsi="Arial"/>
      <w:sz w:val="22"/>
      <w:lang w:eastAsia="en-GB"/>
    </w:rPr>
  </w:style>
  <w:style w:type="paragraph" w:styleId="Heading1">
    <w:name w:val="heading 1"/>
    <w:basedOn w:val="Normal"/>
    <w:next w:val="Normal"/>
    <w:qFormat/>
    <w:rsid w:val="00D50EC3"/>
    <w:pPr>
      <w:keepNext/>
      <w:spacing w:before="240"/>
      <w:outlineLvl w:val="0"/>
    </w:pPr>
    <w:rPr>
      <w:rFonts w:cs="Arial"/>
      <w:b/>
      <w:bCs/>
      <w:kern w:val="32"/>
      <w:sz w:val="32"/>
      <w:szCs w:val="32"/>
    </w:rPr>
  </w:style>
  <w:style w:type="paragraph" w:styleId="Heading3">
    <w:name w:val="heading 3"/>
    <w:basedOn w:val="Normal"/>
    <w:next w:val="Normal"/>
    <w:qFormat/>
    <w:rsid w:val="00D50EC3"/>
    <w:pPr>
      <w:keepNext/>
      <w:spacing w:before="24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50EC3"/>
    <w:pPr>
      <w:tabs>
        <w:tab w:val="center" w:pos="4153"/>
        <w:tab w:val="right" w:pos="8306"/>
      </w:tabs>
    </w:pPr>
  </w:style>
  <w:style w:type="paragraph" w:styleId="Footer">
    <w:name w:val="footer"/>
    <w:basedOn w:val="Normal"/>
    <w:link w:val="FooterChar"/>
    <w:uiPriority w:val="99"/>
    <w:rsid w:val="00D50EC3"/>
    <w:pPr>
      <w:tabs>
        <w:tab w:val="center" w:pos="4153"/>
        <w:tab w:val="right" w:pos="8306"/>
      </w:tabs>
    </w:pPr>
  </w:style>
  <w:style w:type="table" w:styleId="TableGrid">
    <w:name w:val="Table Grid"/>
    <w:basedOn w:val="TableNormal"/>
    <w:uiPriority w:val="39"/>
    <w:rsid w:val="00D50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Normal"/>
    <w:rsid w:val="00D50EC3"/>
    <w:pPr>
      <w:spacing w:before="80" w:after="80"/>
    </w:pPr>
    <w:rPr>
      <w:sz w:val="20"/>
    </w:rPr>
  </w:style>
  <w:style w:type="paragraph" w:customStyle="1" w:styleId="a">
    <w:basedOn w:val="Normal"/>
    <w:rsid w:val="00133743"/>
    <w:pPr>
      <w:spacing w:after="160" w:line="240" w:lineRule="exact"/>
    </w:pPr>
    <w:rPr>
      <w:sz w:val="20"/>
      <w:lang w:val="en-US" w:eastAsia="en-US"/>
    </w:rPr>
  </w:style>
  <w:style w:type="paragraph" w:styleId="FootnoteText">
    <w:name w:val="footnote text"/>
    <w:basedOn w:val="Normal"/>
    <w:link w:val="FootnoteTextChar"/>
    <w:rsid w:val="00434FD0"/>
    <w:rPr>
      <w:sz w:val="20"/>
    </w:rPr>
  </w:style>
  <w:style w:type="character" w:styleId="FootnoteReference">
    <w:name w:val="footnote reference"/>
    <w:uiPriority w:val="99"/>
    <w:rsid w:val="00434FD0"/>
    <w:rPr>
      <w:vertAlign w:val="superscript"/>
    </w:rPr>
  </w:style>
  <w:style w:type="paragraph" w:styleId="BalloonText">
    <w:name w:val="Balloon Text"/>
    <w:basedOn w:val="Normal"/>
    <w:semiHidden/>
    <w:rsid w:val="008179E7"/>
    <w:rPr>
      <w:rFonts w:ascii="Tahoma" w:hAnsi="Tahoma" w:cs="Tahoma"/>
      <w:sz w:val="16"/>
      <w:szCs w:val="16"/>
    </w:rPr>
  </w:style>
  <w:style w:type="character" w:styleId="PageNumber">
    <w:name w:val="page number"/>
    <w:basedOn w:val="DefaultParagraphFont"/>
    <w:rsid w:val="00AD6245"/>
  </w:style>
  <w:style w:type="character" w:styleId="Hyperlink">
    <w:name w:val="Hyperlink"/>
    <w:rsid w:val="00E0001F"/>
    <w:rPr>
      <w:color w:val="0000FF"/>
      <w:u w:val="single"/>
    </w:rPr>
  </w:style>
  <w:style w:type="character" w:customStyle="1" w:styleId="HeaderChar">
    <w:name w:val="Header Char"/>
    <w:link w:val="Header"/>
    <w:uiPriority w:val="99"/>
    <w:rsid w:val="00E75709"/>
    <w:rPr>
      <w:rFonts w:ascii="Arial" w:hAnsi="Arial"/>
      <w:sz w:val="22"/>
      <w:lang w:eastAsia="en-GB"/>
    </w:rPr>
  </w:style>
  <w:style w:type="paragraph" w:customStyle="1" w:styleId="MediumGrid21">
    <w:name w:val="Medium Grid 21"/>
    <w:uiPriority w:val="1"/>
    <w:qFormat/>
    <w:rsid w:val="006E4690"/>
    <w:rPr>
      <w:rFonts w:ascii="Arial" w:hAnsi="Arial"/>
      <w:sz w:val="22"/>
      <w:lang w:eastAsia="en-GB"/>
    </w:rPr>
  </w:style>
  <w:style w:type="character" w:customStyle="1" w:styleId="FooterChar">
    <w:name w:val="Footer Char"/>
    <w:link w:val="Footer"/>
    <w:uiPriority w:val="99"/>
    <w:rsid w:val="000D1F7C"/>
    <w:rPr>
      <w:rFonts w:ascii="Arial" w:hAnsi="Arial"/>
      <w:sz w:val="22"/>
      <w:lang w:eastAsia="en-GB"/>
    </w:rPr>
  </w:style>
  <w:style w:type="paragraph" w:styleId="NormalWeb">
    <w:name w:val="Normal (Web)"/>
    <w:basedOn w:val="Normal"/>
    <w:uiPriority w:val="99"/>
    <w:rsid w:val="00484812"/>
    <w:rPr>
      <w:rFonts w:ascii="Times New Roman" w:hAnsi="Times New Roman"/>
      <w:sz w:val="24"/>
      <w:szCs w:val="24"/>
    </w:rPr>
  </w:style>
  <w:style w:type="character" w:customStyle="1" w:styleId="highlight">
    <w:name w:val="highlight"/>
    <w:basedOn w:val="DefaultParagraphFont"/>
    <w:rsid w:val="00FD4D2C"/>
  </w:style>
  <w:style w:type="character" w:styleId="Emphasis">
    <w:name w:val="Emphasis"/>
    <w:uiPriority w:val="20"/>
    <w:qFormat/>
    <w:rsid w:val="00FD4D2C"/>
    <w:rPr>
      <w:i/>
      <w:iCs/>
    </w:rPr>
  </w:style>
  <w:style w:type="paragraph" w:styleId="EndnoteText">
    <w:name w:val="endnote text"/>
    <w:basedOn w:val="Normal"/>
    <w:link w:val="EndnoteTextChar"/>
    <w:uiPriority w:val="99"/>
    <w:rsid w:val="00D7012C"/>
    <w:rPr>
      <w:sz w:val="20"/>
    </w:rPr>
  </w:style>
  <w:style w:type="character" w:customStyle="1" w:styleId="EndnoteTextChar">
    <w:name w:val="Endnote Text Char"/>
    <w:link w:val="EndnoteText"/>
    <w:uiPriority w:val="99"/>
    <w:rsid w:val="00D7012C"/>
    <w:rPr>
      <w:rFonts w:ascii="Arial" w:hAnsi="Arial"/>
      <w:lang w:eastAsia="en-GB"/>
    </w:rPr>
  </w:style>
  <w:style w:type="character" w:styleId="EndnoteReference">
    <w:name w:val="endnote reference"/>
    <w:rsid w:val="00D7012C"/>
    <w:rPr>
      <w:vertAlign w:val="superscript"/>
    </w:rPr>
  </w:style>
  <w:style w:type="paragraph" w:customStyle="1" w:styleId="ColorfulList-Accent11">
    <w:name w:val="Colorful List - Accent 11"/>
    <w:basedOn w:val="Normal"/>
    <w:uiPriority w:val="34"/>
    <w:qFormat/>
    <w:rsid w:val="004F3B4A"/>
    <w:pPr>
      <w:ind w:left="720"/>
    </w:pPr>
    <w:rPr>
      <w:rFonts w:ascii="Calibri" w:eastAsia="Calibri" w:hAnsi="Calibri" w:cs="Calibri"/>
      <w:szCs w:val="22"/>
      <w:lang w:eastAsia="en-US"/>
    </w:rPr>
  </w:style>
  <w:style w:type="character" w:styleId="CommentReference">
    <w:name w:val="annotation reference"/>
    <w:uiPriority w:val="99"/>
    <w:rsid w:val="00F30393"/>
    <w:rPr>
      <w:sz w:val="18"/>
      <w:szCs w:val="18"/>
    </w:rPr>
  </w:style>
  <w:style w:type="paragraph" w:styleId="CommentText">
    <w:name w:val="annotation text"/>
    <w:basedOn w:val="Normal"/>
    <w:link w:val="CommentTextChar"/>
    <w:uiPriority w:val="99"/>
    <w:rsid w:val="00F30393"/>
    <w:rPr>
      <w:sz w:val="24"/>
      <w:szCs w:val="24"/>
    </w:rPr>
  </w:style>
  <w:style w:type="character" w:customStyle="1" w:styleId="CommentTextChar">
    <w:name w:val="Comment Text Char"/>
    <w:link w:val="CommentText"/>
    <w:uiPriority w:val="99"/>
    <w:rsid w:val="00F30393"/>
    <w:rPr>
      <w:rFonts w:ascii="Arial" w:hAnsi="Arial"/>
      <w:sz w:val="24"/>
      <w:szCs w:val="24"/>
      <w:lang w:val="en-NZ" w:eastAsia="en-GB"/>
    </w:rPr>
  </w:style>
  <w:style w:type="paragraph" w:styleId="CommentSubject">
    <w:name w:val="annotation subject"/>
    <w:basedOn w:val="CommentText"/>
    <w:next w:val="CommentText"/>
    <w:link w:val="CommentSubjectChar"/>
    <w:rsid w:val="00F30393"/>
    <w:rPr>
      <w:b/>
      <w:bCs/>
      <w:sz w:val="20"/>
      <w:szCs w:val="20"/>
    </w:rPr>
  </w:style>
  <w:style w:type="character" w:customStyle="1" w:styleId="CommentSubjectChar">
    <w:name w:val="Comment Subject Char"/>
    <w:link w:val="CommentSubject"/>
    <w:rsid w:val="00F30393"/>
    <w:rPr>
      <w:rFonts w:ascii="Arial" w:hAnsi="Arial"/>
      <w:b/>
      <w:bCs/>
      <w:sz w:val="24"/>
      <w:szCs w:val="24"/>
      <w:lang w:val="en-NZ" w:eastAsia="en-GB"/>
    </w:rPr>
  </w:style>
  <w:style w:type="paragraph" w:styleId="ListParagraph">
    <w:name w:val="List Paragraph"/>
    <w:aliases w:val="Bullet Normal"/>
    <w:basedOn w:val="Normal"/>
    <w:link w:val="ListParagraphChar"/>
    <w:uiPriority w:val="34"/>
    <w:qFormat/>
    <w:rsid w:val="000D32C4"/>
    <w:pPr>
      <w:numPr>
        <w:numId w:val="3"/>
      </w:numPr>
      <w:spacing w:after="0"/>
      <w:contextualSpacing/>
    </w:pPr>
    <w:rPr>
      <w:rFonts w:eastAsia="Calibri" w:cs="Arial"/>
      <w:szCs w:val="22"/>
      <w:lang w:eastAsia="en-US"/>
    </w:rPr>
  </w:style>
  <w:style w:type="character" w:customStyle="1" w:styleId="FootnoteTextChar">
    <w:name w:val="Footnote Text Char"/>
    <w:link w:val="FootnoteText"/>
    <w:rsid w:val="00A31A6A"/>
    <w:rPr>
      <w:rFonts w:ascii="Arial" w:hAnsi="Arial"/>
      <w:lang w:eastAsia="en-GB"/>
    </w:rPr>
  </w:style>
  <w:style w:type="character" w:styleId="FollowedHyperlink">
    <w:name w:val="FollowedHyperlink"/>
    <w:rsid w:val="00960B29"/>
    <w:rPr>
      <w:color w:val="954F72"/>
      <w:u w:val="single"/>
    </w:rPr>
  </w:style>
  <w:style w:type="character" w:styleId="UnresolvedMention">
    <w:name w:val="Unresolved Mention"/>
    <w:uiPriority w:val="99"/>
    <w:semiHidden/>
    <w:unhideWhenUsed/>
    <w:rsid w:val="000A2A86"/>
    <w:rPr>
      <w:color w:val="605E5C"/>
      <w:shd w:val="clear" w:color="auto" w:fill="E1DFDD"/>
    </w:rPr>
  </w:style>
  <w:style w:type="character" w:customStyle="1" w:styleId="codedvalue">
    <w:name w:val="codedvalue"/>
    <w:rsid w:val="003D6246"/>
  </w:style>
  <w:style w:type="character" w:customStyle="1" w:styleId="ListParagraphChar">
    <w:name w:val="List Paragraph Char"/>
    <w:aliases w:val="Bullet Normal Char"/>
    <w:link w:val="ListParagraph"/>
    <w:uiPriority w:val="34"/>
    <w:locked/>
    <w:rsid w:val="000D32C4"/>
    <w:rPr>
      <w:rFonts w:ascii="Arial" w:eastAsia="Calibri" w:hAnsi="Arial" w:cs="Arial"/>
      <w:sz w:val="22"/>
      <w:szCs w:val="22"/>
      <w:lang w:eastAsia="en-US"/>
    </w:rPr>
  </w:style>
  <w:style w:type="table" w:styleId="TableGridLight">
    <w:name w:val="Grid Table Light"/>
    <w:basedOn w:val="TableNormal"/>
    <w:uiPriority w:val="40"/>
    <w:rsid w:val="00C573C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Revision">
    <w:name w:val="Revision"/>
    <w:hidden/>
    <w:uiPriority w:val="99"/>
    <w:semiHidden/>
    <w:rsid w:val="00392260"/>
    <w:rPr>
      <w:rFonts w:ascii="Arial" w:hAnsi="Arial"/>
      <w:sz w:val="22"/>
      <w:lang w:eastAsia="en-GB"/>
    </w:rPr>
  </w:style>
  <w:style w:type="paragraph" w:styleId="ListBullet">
    <w:name w:val="List Bullet"/>
    <w:basedOn w:val="Normal"/>
    <w:rsid w:val="005F35B1"/>
    <w:pPr>
      <w:numPr>
        <w:numId w:val="1"/>
      </w:numPr>
      <w:contextualSpacing/>
    </w:pPr>
  </w:style>
  <w:style w:type="paragraph" w:styleId="ListNumber">
    <w:name w:val="List Number"/>
    <w:basedOn w:val="Normal"/>
    <w:rsid w:val="005F35B1"/>
    <w:pPr>
      <w:numPr>
        <w:numId w:val="2"/>
      </w:numPr>
      <w:contextualSpacing/>
    </w:pPr>
  </w:style>
  <w:style w:type="paragraph" w:styleId="List">
    <w:name w:val="List"/>
    <w:basedOn w:val="Normal"/>
    <w:rsid w:val="00F96B08"/>
    <w:pPr>
      <w:ind w:left="283" w:hanging="283"/>
      <w:contextualSpacing/>
    </w:pPr>
  </w:style>
  <w:style w:type="paragraph" w:customStyle="1" w:styleId="Normalfirstline">
    <w:name w:val="Normal first line"/>
    <w:basedOn w:val="Normal"/>
    <w:link w:val="NormalfirstlineChar"/>
    <w:qFormat/>
    <w:rsid w:val="001A3B6D"/>
    <w:pPr>
      <w:spacing w:before="60"/>
    </w:pPr>
    <w:rPr>
      <w:rFonts w:cs="Arial"/>
      <w:szCs w:val="22"/>
    </w:rPr>
  </w:style>
  <w:style w:type="paragraph" w:customStyle="1" w:styleId="Normalfirstbold">
    <w:name w:val="Normal first bold"/>
    <w:basedOn w:val="Normalfirstline"/>
    <w:link w:val="NormalfirstboldChar"/>
    <w:qFormat/>
    <w:rsid w:val="00A72FE0"/>
    <w:rPr>
      <w:b/>
      <w:bCs/>
    </w:rPr>
  </w:style>
  <w:style w:type="character" w:customStyle="1" w:styleId="NormalfirstlineChar">
    <w:name w:val="Normal first line Char"/>
    <w:link w:val="Normalfirstline"/>
    <w:rsid w:val="001A3B6D"/>
    <w:rPr>
      <w:rFonts w:ascii="Arial" w:hAnsi="Arial" w:cs="Arial"/>
      <w:sz w:val="22"/>
      <w:szCs w:val="22"/>
      <w:lang w:eastAsia="en-GB"/>
    </w:rPr>
  </w:style>
  <w:style w:type="paragraph" w:styleId="NoSpacing">
    <w:name w:val="No Spacing"/>
    <w:uiPriority w:val="1"/>
    <w:qFormat/>
    <w:rsid w:val="000D32C4"/>
    <w:rPr>
      <w:rFonts w:ascii="Arial" w:hAnsi="Arial"/>
      <w:sz w:val="22"/>
      <w:lang w:eastAsia="en-GB"/>
    </w:rPr>
  </w:style>
  <w:style w:type="character" w:customStyle="1" w:styleId="NormalfirstboldChar">
    <w:name w:val="Normal first bold Char"/>
    <w:link w:val="Normalfirstbold"/>
    <w:rsid w:val="00A72FE0"/>
    <w:rPr>
      <w:rFonts w:ascii="Arial" w:hAnsi="Arial" w:cs="Arial"/>
      <w:b/>
      <w:bCs/>
      <w:sz w:val="22"/>
      <w:szCs w:val="22"/>
      <w:lang w:eastAsia="en-GB"/>
    </w:rPr>
  </w:style>
  <w:style w:type="character" w:styleId="Strong">
    <w:name w:val="Strong"/>
    <w:uiPriority w:val="22"/>
    <w:qFormat/>
    <w:rsid w:val="000D32C4"/>
    <w:rPr>
      <w:b/>
      <w:bCs/>
    </w:rPr>
  </w:style>
  <w:style w:type="table" w:styleId="MediumList1-Accent5">
    <w:name w:val="Medium List 1 Accent 5"/>
    <w:basedOn w:val="TableNormal"/>
    <w:uiPriority w:val="65"/>
    <w:rsid w:val="000D32C4"/>
    <w:rPr>
      <w:color w:val="000000"/>
    </w:rPr>
    <w:tblPr>
      <w:tblStyleRowBandSize w:val="1"/>
      <w:tblStyleColBandSize w:val="1"/>
      <w:tblBorders>
        <w:top w:val="single" w:sz="8" w:space="0" w:color="4BACC6"/>
        <w:bottom w:val="single" w:sz="8" w:space="0" w:color="4BACC6"/>
      </w:tblBorders>
    </w:tblPr>
    <w:tblStylePr w:type="firstRow">
      <w:rPr>
        <w:rFonts w:ascii="Adobe Garamond Pro" w:eastAsia="MS Gothic" w:hAnsi="Adobe Garamond Pro"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Pa21">
    <w:name w:val="Pa21"/>
    <w:basedOn w:val="Normal"/>
    <w:next w:val="Normal"/>
    <w:uiPriority w:val="99"/>
    <w:rsid w:val="000D32C4"/>
    <w:pPr>
      <w:autoSpaceDE w:val="0"/>
      <w:autoSpaceDN w:val="0"/>
      <w:adjustRightInd w:val="0"/>
      <w:spacing w:line="321" w:lineRule="atLeast"/>
    </w:pPr>
    <w:rPr>
      <w:rFonts w:ascii="Adobe Garamond Pro Bold" w:hAnsi="Adobe Garamond Pro Bold"/>
      <w:sz w:val="24"/>
      <w:szCs w:val="24"/>
      <w:lang w:eastAsia="en-NZ"/>
    </w:rPr>
  </w:style>
  <w:style w:type="paragraph" w:customStyle="1" w:styleId="Pa7">
    <w:name w:val="Pa7"/>
    <w:basedOn w:val="Normal"/>
    <w:next w:val="Normal"/>
    <w:uiPriority w:val="99"/>
    <w:rsid w:val="000D32C4"/>
    <w:pPr>
      <w:autoSpaceDE w:val="0"/>
      <w:autoSpaceDN w:val="0"/>
      <w:adjustRightInd w:val="0"/>
      <w:spacing w:line="261" w:lineRule="atLeast"/>
    </w:pPr>
    <w:rPr>
      <w:rFonts w:ascii="Adobe Garamond Pro Bold" w:hAnsi="Adobe Garamond Pro Bold"/>
      <w:sz w:val="24"/>
      <w:szCs w:val="24"/>
      <w:lang w:eastAsia="en-NZ"/>
    </w:rPr>
  </w:style>
  <w:style w:type="paragraph" w:customStyle="1" w:styleId="Pa22">
    <w:name w:val="Pa22"/>
    <w:basedOn w:val="Normal"/>
    <w:next w:val="Normal"/>
    <w:uiPriority w:val="99"/>
    <w:rsid w:val="000D32C4"/>
    <w:pPr>
      <w:autoSpaceDE w:val="0"/>
      <w:autoSpaceDN w:val="0"/>
      <w:adjustRightInd w:val="0"/>
      <w:spacing w:line="241" w:lineRule="atLeast"/>
    </w:pPr>
    <w:rPr>
      <w:rFonts w:ascii="Adobe Garamond Pro Bold" w:hAnsi="Adobe Garamond Pro Bold"/>
      <w:sz w:val="24"/>
      <w:szCs w:val="24"/>
      <w:lang w:eastAsia="en-NZ"/>
    </w:rPr>
  </w:style>
  <w:style w:type="character" w:customStyle="1" w:styleId="A10">
    <w:name w:val="A10"/>
    <w:uiPriority w:val="99"/>
    <w:rsid w:val="000D32C4"/>
    <w:rPr>
      <w:rFonts w:ascii="Adobe Garamond Pro" w:hAnsi="Adobe Garamond Pro" w:cs="Adobe Garamond Pro"/>
      <w:color w:val="000000"/>
      <w:sz w:val="14"/>
      <w:szCs w:val="14"/>
    </w:rPr>
  </w:style>
  <w:style w:type="paragraph" w:styleId="Title">
    <w:name w:val="Title"/>
    <w:basedOn w:val="Normal"/>
    <w:next w:val="Normal"/>
    <w:link w:val="TitleChar"/>
    <w:uiPriority w:val="10"/>
    <w:qFormat/>
    <w:rsid w:val="00564994"/>
    <w:pPr>
      <w:spacing w:after="0"/>
    </w:pPr>
    <w:rPr>
      <w:rFonts w:ascii="Calibri Light" w:hAnsi="Calibri Light"/>
      <w:caps/>
      <w:color w:val="5B9BD5"/>
      <w:spacing w:val="10"/>
      <w:sz w:val="52"/>
      <w:szCs w:val="52"/>
      <w:lang w:eastAsia="en-US"/>
    </w:rPr>
  </w:style>
  <w:style w:type="character" w:customStyle="1" w:styleId="TitleChar">
    <w:name w:val="Title Char"/>
    <w:basedOn w:val="DefaultParagraphFont"/>
    <w:link w:val="Title"/>
    <w:uiPriority w:val="10"/>
    <w:rsid w:val="00564994"/>
    <w:rPr>
      <w:rFonts w:ascii="Calibri Light" w:hAnsi="Calibri Light"/>
      <w:caps/>
      <w:color w:val="5B9BD5"/>
      <w:spacing w:val="10"/>
      <w:sz w:val="52"/>
      <w:szCs w:val="52"/>
      <w:lang w:eastAsia="en-US"/>
    </w:rPr>
  </w:style>
  <w:style w:type="character" w:styleId="PlaceholderText">
    <w:name w:val="Placeholder Text"/>
    <w:basedOn w:val="DefaultParagraphFont"/>
    <w:uiPriority w:val="99"/>
    <w:semiHidden/>
    <w:rsid w:val="002D5556"/>
    <w:rPr>
      <w:color w:val="808080"/>
    </w:rPr>
  </w:style>
  <w:style w:type="character" w:customStyle="1" w:styleId="cf01">
    <w:name w:val="cf01"/>
    <w:basedOn w:val="DefaultParagraphFont"/>
    <w:rsid w:val="0082190B"/>
    <w:rPr>
      <w:rFonts w:ascii="Segoe UI" w:hAnsi="Segoe UI" w:cs="Segoe UI" w:hint="default"/>
      <w:color w:val="202124"/>
      <w:sz w:val="18"/>
      <w:szCs w:val="18"/>
      <w:shd w:val="clear" w:color="auto" w:fill="FFFFFF"/>
    </w:rPr>
  </w:style>
  <w:style w:type="character" w:customStyle="1" w:styleId="ui-provider">
    <w:name w:val="ui-provider"/>
    <w:basedOn w:val="DefaultParagraphFont"/>
    <w:rsid w:val="00BF6F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947472">
      <w:bodyDiv w:val="1"/>
      <w:marLeft w:val="0"/>
      <w:marRight w:val="0"/>
      <w:marTop w:val="0"/>
      <w:marBottom w:val="0"/>
      <w:divBdr>
        <w:top w:val="none" w:sz="0" w:space="0" w:color="auto"/>
        <w:left w:val="none" w:sz="0" w:space="0" w:color="auto"/>
        <w:bottom w:val="none" w:sz="0" w:space="0" w:color="auto"/>
        <w:right w:val="none" w:sz="0" w:space="0" w:color="auto"/>
      </w:divBdr>
    </w:div>
    <w:div w:id="182205138">
      <w:bodyDiv w:val="1"/>
      <w:marLeft w:val="0"/>
      <w:marRight w:val="0"/>
      <w:marTop w:val="0"/>
      <w:marBottom w:val="0"/>
      <w:divBdr>
        <w:top w:val="none" w:sz="0" w:space="0" w:color="auto"/>
        <w:left w:val="none" w:sz="0" w:space="0" w:color="auto"/>
        <w:bottom w:val="none" w:sz="0" w:space="0" w:color="auto"/>
        <w:right w:val="none" w:sz="0" w:space="0" w:color="auto"/>
      </w:divBdr>
    </w:div>
    <w:div w:id="206064997">
      <w:bodyDiv w:val="1"/>
      <w:marLeft w:val="0"/>
      <w:marRight w:val="0"/>
      <w:marTop w:val="0"/>
      <w:marBottom w:val="0"/>
      <w:divBdr>
        <w:top w:val="none" w:sz="0" w:space="0" w:color="auto"/>
        <w:left w:val="none" w:sz="0" w:space="0" w:color="auto"/>
        <w:bottom w:val="none" w:sz="0" w:space="0" w:color="auto"/>
        <w:right w:val="none" w:sz="0" w:space="0" w:color="auto"/>
      </w:divBdr>
      <w:divsChild>
        <w:div w:id="39794402">
          <w:marLeft w:val="0"/>
          <w:marRight w:val="0"/>
          <w:marTop w:val="0"/>
          <w:marBottom w:val="0"/>
          <w:divBdr>
            <w:top w:val="none" w:sz="0" w:space="0" w:color="auto"/>
            <w:left w:val="none" w:sz="0" w:space="0" w:color="auto"/>
            <w:bottom w:val="none" w:sz="0" w:space="0" w:color="auto"/>
            <w:right w:val="none" w:sz="0" w:space="0" w:color="auto"/>
          </w:divBdr>
          <w:divsChild>
            <w:div w:id="1019504350">
              <w:marLeft w:val="0"/>
              <w:marRight w:val="0"/>
              <w:marTop w:val="0"/>
              <w:marBottom w:val="0"/>
              <w:divBdr>
                <w:top w:val="none" w:sz="0" w:space="0" w:color="auto"/>
                <w:left w:val="none" w:sz="0" w:space="0" w:color="auto"/>
                <w:bottom w:val="none" w:sz="0" w:space="0" w:color="auto"/>
                <w:right w:val="none" w:sz="0" w:space="0" w:color="auto"/>
              </w:divBdr>
              <w:divsChild>
                <w:div w:id="367529323">
                  <w:marLeft w:val="0"/>
                  <w:marRight w:val="0"/>
                  <w:marTop w:val="0"/>
                  <w:marBottom w:val="0"/>
                  <w:divBdr>
                    <w:top w:val="none" w:sz="0" w:space="0" w:color="auto"/>
                    <w:left w:val="none" w:sz="0" w:space="0" w:color="auto"/>
                    <w:bottom w:val="none" w:sz="0" w:space="0" w:color="auto"/>
                    <w:right w:val="none" w:sz="0" w:space="0" w:color="auto"/>
                  </w:divBdr>
                  <w:divsChild>
                    <w:div w:id="1268004648">
                      <w:marLeft w:val="0"/>
                      <w:marRight w:val="0"/>
                      <w:marTop w:val="0"/>
                      <w:marBottom w:val="0"/>
                      <w:divBdr>
                        <w:top w:val="none" w:sz="0" w:space="0" w:color="auto"/>
                        <w:left w:val="none" w:sz="0" w:space="0" w:color="auto"/>
                        <w:bottom w:val="none" w:sz="0" w:space="0" w:color="auto"/>
                        <w:right w:val="none" w:sz="0" w:space="0" w:color="auto"/>
                      </w:divBdr>
                      <w:divsChild>
                        <w:div w:id="509216677">
                          <w:marLeft w:val="0"/>
                          <w:marRight w:val="0"/>
                          <w:marTop w:val="0"/>
                          <w:marBottom w:val="0"/>
                          <w:divBdr>
                            <w:top w:val="none" w:sz="0" w:space="0" w:color="auto"/>
                            <w:left w:val="none" w:sz="0" w:space="0" w:color="auto"/>
                            <w:bottom w:val="none" w:sz="0" w:space="0" w:color="auto"/>
                            <w:right w:val="none" w:sz="0" w:space="0" w:color="auto"/>
                          </w:divBdr>
                          <w:divsChild>
                            <w:div w:id="257569069">
                              <w:marLeft w:val="0"/>
                              <w:marRight w:val="0"/>
                              <w:marTop w:val="0"/>
                              <w:marBottom w:val="0"/>
                              <w:divBdr>
                                <w:top w:val="none" w:sz="0" w:space="0" w:color="auto"/>
                                <w:left w:val="none" w:sz="0" w:space="0" w:color="auto"/>
                                <w:bottom w:val="none" w:sz="0" w:space="0" w:color="auto"/>
                                <w:right w:val="none" w:sz="0" w:space="0" w:color="auto"/>
                              </w:divBdr>
                              <w:divsChild>
                                <w:div w:id="71265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7438328">
      <w:bodyDiv w:val="1"/>
      <w:marLeft w:val="0"/>
      <w:marRight w:val="0"/>
      <w:marTop w:val="0"/>
      <w:marBottom w:val="0"/>
      <w:divBdr>
        <w:top w:val="none" w:sz="0" w:space="0" w:color="auto"/>
        <w:left w:val="none" w:sz="0" w:space="0" w:color="auto"/>
        <w:bottom w:val="none" w:sz="0" w:space="0" w:color="auto"/>
        <w:right w:val="none" w:sz="0" w:space="0" w:color="auto"/>
      </w:divBdr>
    </w:div>
    <w:div w:id="585651981">
      <w:bodyDiv w:val="1"/>
      <w:marLeft w:val="0"/>
      <w:marRight w:val="0"/>
      <w:marTop w:val="0"/>
      <w:marBottom w:val="0"/>
      <w:divBdr>
        <w:top w:val="none" w:sz="0" w:space="0" w:color="auto"/>
        <w:left w:val="none" w:sz="0" w:space="0" w:color="auto"/>
        <w:bottom w:val="none" w:sz="0" w:space="0" w:color="auto"/>
        <w:right w:val="none" w:sz="0" w:space="0" w:color="auto"/>
      </w:divBdr>
      <w:divsChild>
        <w:div w:id="1170948714">
          <w:marLeft w:val="0"/>
          <w:marRight w:val="0"/>
          <w:marTop w:val="0"/>
          <w:marBottom w:val="0"/>
          <w:divBdr>
            <w:top w:val="single" w:sz="2" w:space="0" w:color="D9D9E3"/>
            <w:left w:val="single" w:sz="2" w:space="0" w:color="D9D9E3"/>
            <w:bottom w:val="single" w:sz="2" w:space="0" w:color="D9D9E3"/>
            <w:right w:val="single" w:sz="2" w:space="0" w:color="D9D9E3"/>
          </w:divBdr>
          <w:divsChild>
            <w:div w:id="158615202">
              <w:marLeft w:val="0"/>
              <w:marRight w:val="0"/>
              <w:marTop w:val="0"/>
              <w:marBottom w:val="0"/>
              <w:divBdr>
                <w:top w:val="single" w:sz="2" w:space="0" w:color="D9D9E3"/>
                <w:left w:val="single" w:sz="2" w:space="0" w:color="D9D9E3"/>
                <w:bottom w:val="single" w:sz="2" w:space="0" w:color="D9D9E3"/>
                <w:right w:val="single" w:sz="2" w:space="0" w:color="D9D9E3"/>
              </w:divBdr>
              <w:divsChild>
                <w:div w:id="1205291754">
                  <w:marLeft w:val="0"/>
                  <w:marRight w:val="0"/>
                  <w:marTop w:val="0"/>
                  <w:marBottom w:val="0"/>
                  <w:divBdr>
                    <w:top w:val="single" w:sz="2" w:space="0" w:color="D9D9E3"/>
                    <w:left w:val="single" w:sz="2" w:space="0" w:color="D9D9E3"/>
                    <w:bottom w:val="single" w:sz="2" w:space="0" w:color="D9D9E3"/>
                    <w:right w:val="single" w:sz="2" w:space="0" w:color="D9D9E3"/>
                  </w:divBdr>
                  <w:divsChild>
                    <w:div w:id="1119488546">
                      <w:marLeft w:val="0"/>
                      <w:marRight w:val="0"/>
                      <w:marTop w:val="0"/>
                      <w:marBottom w:val="0"/>
                      <w:divBdr>
                        <w:top w:val="single" w:sz="2" w:space="0" w:color="D9D9E3"/>
                        <w:left w:val="single" w:sz="2" w:space="0" w:color="D9D9E3"/>
                        <w:bottom w:val="single" w:sz="2" w:space="0" w:color="D9D9E3"/>
                        <w:right w:val="single" w:sz="2" w:space="0" w:color="D9D9E3"/>
                      </w:divBdr>
                      <w:divsChild>
                        <w:div w:id="1753430227">
                          <w:marLeft w:val="0"/>
                          <w:marRight w:val="0"/>
                          <w:marTop w:val="0"/>
                          <w:marBottom w:val="0"/>
                          <w:divBdr>
                            <w:top w:val="single" w:sz="2" w:space="0" w:color="auto"/>
                            <w:left w:val="single" w:sz="2" w:space="0" w:color="auto"/>
                            <w:bottom w:val="single" w:sz="6" w:space="0" w:color="auto"/>
                            <w:right w:val="single" w:sz="2" w:space="0" w:color="auto"/>
                          </w:divBdr>
                          <w:divsChild>
                            <w:div w:id="1031489300">
                              <w:marLeft w:val="0"/>
                              <w:marRight w:val="0"/>
                              <w:marTop w:val="100"/>
                              <w:marBottom w:val="100"/>
                              <w:divBdr>
                                <w:top w:val="single" w:sz="2" w:space="0" w:color="D9D9E3"/>
                                <w:left w:val="single" w:sz="2" w:space="0" w:color="D9D9E3"/>
                                <w:bottom w:val="single" w:sz="2" w:space="0" w:color="D9D9E3"/>
                                <w:right w:val="single" w:sz="2" w:space="0" w:color="D9D9E3"/>
                              </w:divBdr>
                              <w:divsChild>
                                <w:div w:id="1798642218">
                                  <w:marLeft w:val="0"/>
                                  <w:marRight w:val="0"/>
                                  <w:marTop w:val="0"/>
                                  <w:marBottom w:val="0"/>
                                  <w:divBdr>
                                    <w:top w:val="single" w:sz="2" w:space="0" w:color="D9D9E3"/>
                                    <w:left w:val="single" w:sz="2" w:space="0" w:color="D9D9E3"/>
                                    <w:bottom w:val="single" w:sz="2" w:space="0" w:color="D9D9E3"/>
                                    <w:right w:val="single" w:sz="2" w:space="0" w:color="D9D9E3"/>
                                  </w:divBdr>
                                  <w:divsChild>
                                    <w:div w:id="402065064">
                                      <w:marLeft w:val="0"/>
                                      <w:marRight w:val="0"/>
                                      <w:marTop w:val="0"/>
                                      <w:marBottom w:val="0"/>
                                      <w:divBdr>
                                        <w:top w:val="single" w:sz="2" w:space="0" w:color="D9D9E3"/>
                                        <w:left w:val="single" w:sz="2" w:space="0" w:color="D9D9E3"/>
                                        <w:bottom w:val="single" w:sz="2" w:space="0" w:color="D9D9E3"/>
                                        <w:right w:val="single" w:sz="2" w:space="0" w:color="D9D9E3"/>
                                      </w:divBdr>
                                      <w:divsChild>
                                        <w:div w:id="1598638980">
                                          <w:marLeft w:val="0"/>
                                          <w:marRight w:val="0"/>
                                          <w:marTop w:val="0"/>
                                          <w:marBottom w:val="0"/>
                                          <w:divBdr>
                                            <w:top w:val="single" w:sz="2" w:space="0" w:color="D9D9E3"/>
                                            <w:left w:val="single" w:sz="2" w:space="0" w:color="D9D9E3"/>
                                            <w:bottom w:val="single" w:sz="2" w:space="0" w:color="D9D9E3"/>
                                            <w:right w:val="single" w:sz="2" w:space="0" w:color="D9D9E3"/>
                                          </w:divBdr>
                                          <w:divsChild>
                                            <w:div w:id="1752434474">
                                              <w:marLeft w:val="0"/>
                                              <w:marRight w:val="0"/>
                                              <w:marTop w:val="0"/>
                                              <w:marBottom w:val="0"/>
                                              <w:divBdr>
                                                <w:top w:val="single" w:sz="2" w:space="0" w:color="D9D9E3"/>
                                                <w:left w:val="single" w:sz="2" w:space="0" w:color="D9D9E3"/>
                                                <w:bottom w:val="single" w:sz="2" w:space="0" w:color="D9D9E3"/>
                                                <w:right w:val="single" w:sz="2" w:space="0" w:color="D9D9E3"/>
                                              </w:divBdr>
                                              <w:divsChild>
                                                <w:div w:id="8406595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33969214">
                          <w:marLeft w:val="0"/>
                          <w:marRight w:val="0"/>
                          <w:marTop w:val="0"/>
                          <w:marBottom w:val="0"/>
                          <w:divBdr>
                            <w:top w:val="single" w:sz="2" w:space="0" w:color="auto"/>
                            <w:left w:val="single" w:sz="2" w:space="0" w:color="auto"/>
                            <w:bottom w:val="single" w:sz="6" w:space="0" w:color="auto"/>
                            <w:right w:val="single" w:sz="2" w:space="0" w:color="auto"/>
                          </w:divBdr>
                          <w:divsChild>
                            <w:div w:id="1664704279">
                              <w:marLeft w:val="0"/>
                              <w:marRight w:val="0"/>
                              <w:marTop w:val="100"/>
                              <w:marBottom w:val="100"/>
                              <w:divBdr>
                                <w:top w:val="single" w:sz="2" w:space="0" w:color="D9D9E3"/>
                                <w:left w:val="single" w:sz="2" w:space="0" w:color="D9D9E3"/>
                                <w:bottom w:val="single" w:sz="2" w:space="0" w:color="D9D9E3"/>
                                <w:right w:val="single" w:sz="2" w:space="0" w:color="D9D9E3"/>
                              </w:divBdr>
                              <w:divsChild>
                                <w:div w:id="196166720">
                                  <w:marLeft w:val="0"/>
                                  <w:marRight w:val="0"/>
                                  <w:marTop w:val="0"/>
                                  <w:marBottom w:val="0"/>
                                  <w:divBdr>
                                    <w:top w:val="single" w:sz="2" w:space="0" w:color="D9D9E3"/>
                                    <w:left w:val="single" w:sz="2" w:space="0" w:color="D9D9E3"/>
                                    <w:bottom w:val="single" w:sz="2" w:space="0" w:color="D9D9E3"/>
                                    <w:right w:val="single" w:sz="2" w:space="0" w:color="D9D9E3"/>
                                  </w:divBdr>
                                  <w:divsChild>
                                    <w:div w:id="217279986">
                                      <w:marLeft w:val="0"/>
                                      <w:marRight w:val="0"/>
                                      <w:marTop w:val="0"/>
                                      <w:marBottom w:val="0"/>
                                      <w:divBdr>
                                        <w:top w:val="single" w:sz="2" w:space="0" w:color="D9D9E3"/>
                                        <w:left w:val="single" w:sz="2" w:space="0" w:color="D9D9E3"/>
                                        <w:bottom w:val="single" w:sz="2" w:space="0" w:color="D9D9E3"/>
                                        <w:right w:val="single" w:sz="2" w:space="0" w:color="D9D9E3"/>
                                      </w:divBdr>
                                      <w:divsChild>
                                        <w:div w:id="1723017806">
                                          <w:marLeft w:val="0"/>
                                          <w:marRight w:val="0"/>
                                          <w:marTop w:val="0"/>
                                          <w:marBottom w:val="0"/>
                                          <w:divBdr>
                                            <w:top w:val="single" w:sz="2" w:space="0" w:color="D9D9E3"/>
                                            <w:left w:val="single" w:sz="2" w:space="0" w:color="D9D9E3"/>
                                            <w:bottom w:val="single" w:sz="2" w:space="0" w:color="D9D9E3"/>
                                            <w:right w:val="single" w:sz="2" w:space="0" w:color="D9D9E3"/>
                                          </w:divBdr>
                                          <w:divsChild>
                                            <w:div w:id="5549743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8574885">
                                      <w:marLeft w:val="0"/>
                                      <w:marRight w:val="0"/>
                                      <w:marTop w:val="0"/>
                                      <w:marBottom w:val="0"/>
                                      <w:divBdr>
                                        <w:top w:val="single" w:sz="2" w:space="0" w:color="D9D9E3"/>
                                        <w:left w:val="single" w:sz="2" w:space="0" w:color="D9D9E3"/>
                                        <w:bottom w:val="single" w:sz="2" w:space="0" w:color="D9D9E3"/>
                                        <w:right w:val="single" w:sz="2" w:space="0" w:color="D9D9E3"/>
                                      </w:divBdr>
                                      <w:divsChild>
                                        <w:div w:id="346061896">
                                          <w:marLeft w:val="0"/>
                                          <w:marRight w:val="0"/>
                                          <w:marTop w:val="0"/>
                                          <w:marBottom w:val="0"/>
                                          <w:divBdr>
                                            <w:top w:val="single" w:sz="2" w:space="0" w:color="D9D9E3"/>
                                            <w:left w:val="single" w:sz="2" w:space="0" w:color="D9D9E3"/>
                                            <w:bottom w:val="single" w:sz="2" w:space="0" w:color="D9D9E3"/>
                                            <w:right w:val="single" w:sz="2" w:space="0" w:color="D9D9E3"/>
                                          </w:divBdr>
                                          <w:divsChild>
                                            <w:div w:id="883446583">
                                              <w:marLeft w:val="0"/>
                                              <w:marRight w:val="0"/>
                                              <w:marTop w:val="0"/>
                                              <w:marBottom w:val="0"/>
                                              <w:divBdr>
                                                <w:top w:val="single" w:sz="2" w:space="0" w:color="D9D9E3"/>
                                                <w:left w:val="single" w:sz="2" w:space="0" w:color="D9D9E3"/>
                                                <w:bottom w:val="single" w:sz="2" w:space="0" w:color="D9D9E3"/>
                                                <w:right w:val="single" w:sz="2" w:space="0" w:color="D9D9E3"/>
                                              </w:divBdr>
                                              <w:divsChild>
                                                <w:div w:id="2555981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35306328">
                          <w:marLeft w:val="0"/>
                          <w:marRight w:val="0"/>
                          <w:marTop w:val="0"/>
                          <w:marBottom w:val="0"/>
                          <w:divBdr>
                            <w:top w:val="single" w:sz="2" w:space="0" w:color="auto"/>
                            <w:left w:val="single" w:sz="2" w:space="0" w:color="auto"/>
                            <w:bottom w:val="single" w:sz="6" w:space="0" w:color="auto"/>
                            <w:right w:val="single" w:sz="2" w:space="0" w:color="auto"/>
                          </w:divBdr>
                          <w:divsChild>
                            <w:div w:id="389378415">
                              <w:marLeft w:val="0"/>
                              <w:marRight w:val="0"/>
                              <w:marTop w:val="100"/>
                              <w:marBottom w:val="100"/>
                              <w:divBdr>
                                <w:top w:val="single" w:sz="2" w:space="0" w:color="D9D9E3"/>
                                <w:left w:val="single" w:sz="2" w:space="0" w:color="D9D9E3"/>
                                <w:bottom w:val="single" w:sz="2" w:space="0" w:color="D9D9E3"/>
                                <w:right w:val="single" w:sz="2" w:space="0" w:color="D9D9E3"/>
                              </w:divBdr>
                              <w:divsChild>
                                <w:div w:id="1344938754">
                                  <w:marLeft w:val="0"/>
                                  <w:marRight w:val="0"/>
                                  <w:marTop w:val="0"/>
                                  <w:marBottom w:val="0"/>
                                  <w:divBdr>
                                    <w:top w:val="single" w:sz="2" w:space="0" w:color="D9D9E3"/>
                                    <w:left w:val="single" w:sz="2" w:space="0" w:color="D9D9E3"/>
                                    <w:bottom w:val="single" w:sz="2" w:space="0" w:color="D9D9E3"/>
                                    <w:right w:val="single" w:sz="2" w:space="0" w:color="D9D9E3"/>
                                  </w:divBdr>
                                  <w:divsChild>
                                    <w:div w:id="1779254764">
                                      <w:marLeft w:val="0"/>
                                      <w:marRight w:val="0"/>
                                      <w:marTop w:val="0"/>
                                      <w:marBottom w:val="0"/>
                                      <w:divBdr>
                                        <w:top w:val="single" w:sz="2" w:space="0" w:color="D9D9E3"/>
                                        <w:left w:val="single" w:sz="2" w:space="0" w:color="D9D9E3"/>
                                        <w:bottom w:val="single" w:sz="2" w:space="0" w:color="D9D9E3"/>
                                        <w:right w:val="single" w:sz="2" w:space="0" w:color="D9D9E3"/>
                                      </w:divBdr>
                                      <w:divsChild>
                                        <w:div w:id="1993676924">
                                          <w:marLeft w:val="0"/>
                                          <w:marRight w:val="0"/>
                                          <w:marTop w:val="0"/>
                                          <w:marBottom w:val="0"/>
                                          <w:divBdr>
                                            <w:top w:val="single" w:sz="2" w:space="0" w:color="D9D9E3"/>
                                            <w:left w:val="single" w:sz="2" w:space="0" w:color="D9D9E3"/>
                                            <w:bottom w:val="single" w:sz="2" w:space="0" w:color="D9D9E3"/>
                                            <w:right w:val="single" w:sz="2" w:space="0" w:color="D9D9E3"/>
                                          </w:divBdr>
                                          <w:divsChild>
                                            <w:div w:id="7317377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98624014">
                                      <w:marLeft w:val="0"/>
                                      <w:marRight w:val="0"/>
                                      <w:marTop w:val="0"/>
                                      <w:marBottom w:val="0"/>
                                      <w:divBdr>
                                        <w:top w:val="single" w:sz="2" w:space="0" w:color="D9D9E3"/>
                                        <w:left w:val="single" w:sz="2" w:space="0" w:color="D9D9E3"/>
                                        <w:bottom w:val="single" w:sz="2" w:space="0" w:color="D9D9E3"/>
                                        <w:right w:val="single" w:sz="2" w:space="0" w:color="D9D9E3"/>
                                      </w:divBdr>
                                      <w:divsChild>
                                        <w:div w:id="2028362999">
                                          <w:marLeft w:val="0"/>
                                          <w:marRight w:val="0"/>
                                          <w:marTop w:val="0"/>
                                          <w:marBottom w:val="0"/>
                                          <w:divBdr>
                                            <w:top w:val="single" w:sz="2" w:space="0" w:color="D9D9E3"/>
                                            <w:left w:val="single" w:sz="2" w:space="0" w:color="D9D9E3"/>
                                            <w:bottom w:val="single" w:sz="2" w:space="0" w:color="D9D9E3"/>
                                            <w:right w:val="single" w:sz="2" w:space="0" w:color="D9D9E3"/>
                                          </w:divBdr>
                                          <w:divsChild>
                                            <w:div w:id="966622290">
                                              <w:marLeft w:val="0"/>
                                              <w:marRight w:val="0"/>
                                              <w:marTop w:val="0"/>
                                              <w:marBottom w:val="0"/>
                                              <w:divBdr>
                                                <w:top w:val="single" w:sz="2" w:space="0" w:color="D9D9E3"/>
                                                <w:left w:val="single" w:sz="2" w:space="0" w:color="D9D9E3"/>
                                                <w:bottom w:val="single" w:sz="2" w:space="0" w:color="D9D9E3"/>
                                                <w:right w:val="single" w:sz="2" w:space="0" w:color="D9D9E3"/>
                                              </w:divBdr>
                                              <w:divsChild>
                                                <w:div w:id="9857474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600795855">
          <w:marLeft w:val="0"/>
          <w:marRight w:val="0"/>
          <w:marTop w:val="0"/>
          <w:marBottom w:val="0"/>
          <w:divBdr>
            <w:top w:val="none" w:sz="0" w:space="0" w:color="auto"/>
            <w:left w:val="none" w:sz="0" w:space="0" w:color="auto"/>
            <w:bottom w:val="none" w:sz="0" w:space="0" w:color="auto"/>
            <w:right w:val="none" w:sz="0" w:space="0" w:color="auto"/>
          </w:divBdr>
        </w:div>
      </w:divsChild>
    </w:div>
    <w:div w:id="610550560">
      <w:bodyDiv w:val="1"/>
      <w:marLeft w:val="0"/>
      <w:marRight w:val="0"/>
      <w:marTop w:val="0"/>
      <w:marBottom w:val="0"/>
      <w:divBdr>
        <w:top w:val="none" w:sz="0" w:space="0" w:color="auto"/>
        <w:left w:val="none" w:sz="0" w:space="0" w:color="auto"/>
        <w:bottom w:val="none" w:sz="0" w:space="0" w:color="auto"/>
        <w:right w:val="none" w:sz="0" w:space="0" w:color="auto"/>
      </w:divBdr>
    </w:div>
    <w:div w:id="646669311">
      <w:bodyDiv w:val="1"/>
      <w:marLeft w:val="0"/>
      <w:marRight w:val="0"/>
      <w:marTop w:val="0"/>
      <w:marBottom w:val="0"/>
      <w:divBdr>
        <w:top w:val="none" w:sz="0" w:space="0" w:color="auto"/>
        <w:left w:val="none" w:sz="0" w:space="0" w:color="auto"/>
        <w:bottom w:val="none" w:sz="0" w:space="0" w:color="auto"/>
        <w:right w:val="none" w:sz="0" w:space="0" w:color="auto"/>
      </w:divBdr>
    </w:div>
    <w:div w:id="677736280">
      <w:bodyDiv w:val="1"/>
      <w:marLeft w:val="0"/>
      <w:marRight w:val="0"/>
      <w:marTop w:val="0"/>
      <w:marBottom w:val="0"/>
      <w:divBdr>
        <w:top w:val="none" w:sz="0" w:space="0" w:color="auto"/>
        <w:left w:val="none" w:sz="0" w:space="0" w:color="auto"/>
        <w:bottom w:val="none" w:sz="0" w:space="0" w:color="auto"/>
        <w:right w:val="none" w:sz="0" w:space="0" w:color="auto"/>
      </w:divBdr>
    </w:div>
    <w:div w:id="682054395">
      <w:bodyDiv w:val="1"/>
      <w:marLeft w:val="0"/>
      <w:marRight w:val="0"/>
      <w:marTop w:val="0"/>
      <w:marBottom w:val="0"/>
      <w:divBdr>
        <w:top w:val="none" w:sz="0" w:space="0" w:color="auto"/>
        <w:left w:val="none" w:sz="0" w:space="0" w:color="auto"/>
        <w:bottom w:val="none" w:sz="0" w:space="0" w:color="auto"/>
        <w:right w:val="none" w:sz="0" w:space="0" w:color="auto"/>
      </w:divBdr>
    </w:div>
    <w:div w:id="707216734">
      <w:bodyDiv w:val="1"/>
      <w:marLeft w:val="0"/>
      <w:marRight w:val="0"/>
      <w:marTop w:val="0"/>
      <w:marBottom w:val="0"/>
      <w:divBdr>
        <w:top w:val="none" w:sz="0" w:space="0" w:color="auto"/>
        <w:left w:val="none" w:sz="0" w:space="0" w:color="auto"/>
        <w:bottom w:val="none" w:sz="0" w:space="0" w:color="auto"/>
        <w:right w:val="none" w:sz="0" w:space="0" w:color="auto"/>
      </w:divBdr>
      <w:divsChild>
        <w:div w:id="1812551914">
          <w:marLeft w:val="0"/>
          <w:marRight w:val="0"/>
          <w:marTop w:val="0"/>
          <w:marBottom w:val="0"/>
          <w:divBdr>
            <w:top w:val="none" w:sz="0" w:space="0" w:color="auto"/>
            <w:left w:val="none" w:sz="0" w:space="0" w:color="auto"/>
            <w:bottom w:val="none" w:sz="0" w:space="0" w:color="auto"/>
            <w:right w:val="none" w:sz="0" w:space="0" w:color="auto"/>
          </w:divBdr>
          <w:divsChild>
            <w:div w:id="1916279052">
              <w:marLeft w:val="0"/>
              <w:marRight w:val="0"/>
              <w:marTop w:val="0"/>
              <w:marBottom w:val="0"/>
              <w:divBdr>
                <w:top w:val="none" w:sz="0" w:space="0" w:color="auto"/>
                <w:left w:val="none" w:sz="0" w:space="0" w:color="auto"/>
                <w:bottom w:val="none" w:sz="0" w:space="0" w:color="auto"/>
                <w:right w:val="none" w:sz="0" w:space="0" w:color="auto"/>
              </w:divBdr>
              <w:divsChild>
                <w:div w:id="2095126639">
                  <w:marLeft w:val="0"/>
                  <w:marRight w:val="0"/>
                  <w:marTop w:val="0"/>
                  <w:marBottom w:val="0"/>
                  <w:divBdr>
                    <w:top w:val="none" w:sz="0" w:space="0" w:color="auto"/>
                    <w:left w:val="none" w:sz="0" w:space="0" w:color="auto"/>
                    <w:bottom w:val="none" w:sz="0" w:space="0" w:color="auto"/>
                    <w:right w:val="none" w:sz="0" w:space="0" w:color="auto"/>
                  </w:divBdr>
                  <w:divsChild>
                    <w:div w:id="410349289">
                      <w:marLeft w:val="0"/>
                      <w:marRight w:val="0"/>
                      <w:marTop w:val="0"/>
                      <w:marBottom w:val="0"/>
                      <w:divBdr>
                        <w:top w:val="none" w:sz="0" w:space="0" w:color="auto"/>
                        <w:left w:val="none" w:sz="0" w:space="0" w:color="auto"/>
                        <w:bottom w:val="none" w:sz="0" w:space="0" w:color="auto"/>
                        <w:right w:val="none" w:sz="0" w:space="0" w:color="auto"/>
                      </w:divBdr>
                      <w:divsChild>
                        <w:div w:id="1734739505">
                          <w:marLeft w:val="0"/>
                          <w:marRight w:val="0"/>
                          <w:marTop w:val="0"/>
                          <w:marBottom w:val="0"/>
                          <w:divBdr>
                            <w:top w:val="none" w:sz="0" w:space="0" w:color="auto"/>
                            <w:left w:val="none" w:sz="0" w:space="0" w:color="auto"/>
                            <w:bottom w:val="none" w:sz="0" w:space="0" w:color="auto"/>
                            <w:right w:val="none" w:sz="0" w:space="0" w:color="auto"/>
                          </w:divBdr>
                          <w:divsChild>
                            <w:div w:id="96218144">
                              <w:marLeft w:val="0"/>
                              <w:marRight w:val="0"/>
                              <w:marTop w:val="0"/>
                              <w:marBottom w:val="0"/>
                              <w:divBdr>
                                <w:top w:val="none" w:sz="0" w:space="0" w:color="auto"/>
                                <w:left w:val="none" w:sz="0" w:space="0" w:color="auto"/>
                                <w:bottom w:val="none" w:sz="0" w:space="0" w:color="auto"/>
                                <w:right w:val="none" w:sz="0" w:space="0" w:color="auto"/>
                              </w:divBdr>
                              <w:divsChild>
                                <w:div w:id="561255125">
                                  <w:marLeft w:val="0"/>
                                  <w:marRight w:val="0"/>
                                  <w:marTop w:val="0"/>
                                  <w:marBottom w:val="0"/>
                                  <w:divBdr>
                                    <w:top w:val="none" w:sz="0" w:space="0" w:color="auto"/>
                                    <w:left w:val="none" w:sz="0" w:space="0" w:color="auto"/>
                                    <w:bottom w:val="none" w:sz="0" w:space="0" w:color="auto"/>
                                    <w:right w:val="none" w:sz="0" w:space="0" w:color="auto"/>
                                  </w:divBdr>
                                  <w:divsChild>
                                    <w:div w:id="120104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0813467">
      <w:bodyDiv w:val="1"/>
      <w:marLeft w:val="0"/>
      <w:marRight w:val="0"/>
      <w:marTop w:val="0"/>
      <w:marBottom w:val="0"/>
      <w:divBdr>
        <w:top w:val="none" w:sz="0" w:space="0" w:color="auto"/>
        <w:left w:val="none" w:sz="0" w:space="0" w:color="auto"/>
        <w:bottom w:val="none" w:sz="0" w:space="0" w:color="auto"/>
        <w:right w:val="none" w:sz="0" w:space="0" w:color="auto"/>
      </w:divBdr>
    </w:div>
    <w:div w:id="780682359">
      <w:bodyDiv w:val="1"/>
      <w:marLeft w:val="0"/>
      <w:marRight w:val="0"/>
      <w:marTop w:val="0"/>
      <w:marBottom w:val="0"/>
      <w:divBdr>
        <w:top w:val="none" w:sz="0" w:space="0" w:color="auto"/>
        <w:left w:val="none" w:sz="0" w:space="0" w:color="auto"/>
        <w:bottom w:val="none" w:sz="0" w:space="0" w:color="auto"/>
        <w:right w:val="none" w:sz="0" w:space="0" w:color="auto"/>
      </w:divBdr>
    </w:div>
    <w:div w:id="787435104">
      <w:bodyDiv w:val="1"/>
      <w:marLeft w:val="0"/>
      <w:marRight w:val="0"/>
      <w:marTop w:val="0"/>
      <w:marBottom w:val="0"/>
      <w:divBdr>
        <w:top w:val="none" w:sz="0" w:space="0" w:color="auto"/>
        <w:left w:val="none" w:sz="0" w:space="0" w:color="auto"/>
        <w:bottom w:val="none" w:sz="0" w:space="0" w:color="auto"/>
        <w:right w:val="none" w:sz="0" w:space="0" w:color="auto"/>
      </w:divBdr>
    </w:div>
    <w:div w:id="899556820">
      <w:bodyDiv w:val="1"/>
      <w:marLeft w:val="0"/>
      <w:marRight w:val="0"/>
      <w:marTop w:val="0"/>
      <w:marBottom w:val="0"/>
      <w:divBdr>
        <w:top w:val="none" w:sz="0" w:space="0" w:color="auto"/>
        <w:left w:val="none" w:sz="0" w:space="0" w:color="auto"/>
        <w:bottom w:val="none" w:sz="0" w:space="0" w:color="auto"/>
        <w:right w:val="none" w:sz="0" w:space="0" w:color="auto"/>
      </w:divBdr>
      <w:divsChild>
        <w:div w:id="1528643757">
          <w:marLeft w:val="0"/>
          <w:marRight w:val="0"/>
          <w:marTop w:val="0"/>
          <w:marBottom w:val="0"/>
          <w:divBdr>
            <w:top w:val="none" w:sz="0" w:space="0" w:color="auto"/>
            <w:left w:val="none" w:sz="0" w:space="0" w:color="auto"/>
            <w:bottom w:val="none" w:sz="0" w:space="0" w:color="auto"/>
            <w:right w:val="none" w:sz="0" w:space="0" w:color="auto"/>
          </w:divBdr>
          <w:divsChild>
            <w:div w:id="1564875193">
              <w:marLeft w:val="0"/>
              <w:marRight w:val="0"/>
              <w:marTop w:val="0"/>
              <w:marBottom w:val="0"/>
              <w:divBdr>
                <w:top w:val="none" w:sz="0" w:space="0" w:color="auto"/>
                <w:left w:val="none" w:sz="0" w:space="0" w:color="auto"/>
                <w:bottom w:val="none" w:sz="0" w:space="0" w:color="auto"/>
                <w:right w:val="none" w:sz="0" w:space="0" w:color="auto"/>
              </w:divBdr>
              <w:divsChild>
                <w:div w:id="1653363667">
                  <w:marLeft w:val="0"/>
                  <w:marRight w:val="0"/>
                  <w:marTop w:val="0"/>
                  <w:marBottom w:val="0"/>
                  <w:divBdr>
                    <w:top w:val="none" w:sz="0" w:space="0" w:color="auto"/>
                    <w:left w:val="none" w:sz="0" w:space="0" w:color="auto"/>
                    <w:bottom w:val="none" w:sz="0" w:space="0" w:color="auto"/>
                    <w:right w:val="none" w:sz="0" w:space="0" w:color="auto"/>
                  </w:divBdr>
                  <w:divsChild>
                    <w:div w:id="841117283">
                      <w:marLeft w:val="0"/>
                      <w:marRight w:val="0"/>
                      <w:marTop w:val="0"/>
                      <w:marBottom w:val="0"/>
                      <w:divBdr>
                        <w:top w:val="none" w:sz="0" w:space="0" w:color="auto"/>
                        <w:left w:val="none" w:sz="0" w:space="0" w:color="auto"/>
                        <w:bottom w:val="none" w:sz="0" w:space="0" w:color="auto"/>
                        <w:right w:val="none" w:sz="0" w:space="0" w:color="auto"/>
                      </w:divBdr>
                      <w:divsChild>
                        <w:div w:id="1323778734">
                          <w:marLeft w:val="90"/>
                          <w:marRight w:val="0"/>
                          <w:marTop w:val="75"/>
                          <w:marBottom w:val="105"/>
                          <w:divBdr>
                            <w:top w:val="none" w:sz="0" w:space="0" w:color="auto"/>
                            <w:left w:val="none" w:sz="0" w:space="0" w:color="auto"/>
                            <w:bottom w:val="none" w:sz="0" w:space="0" w:color="auto"/>
                            <w:right w:val="none" w:sz="0" w:space="0" w:color="auto"/>
                          </w:divBdr>
                          <w:divsChild>
                            <w:div w:id="248739233">
                              <w:marLeft w:val="0"/>
                              <w:marRight w:val="0"/>
                              <w:marTop w:val="0"/>
                              <w:marBottom w:val="0"/>
                              <w:divBdr>
                                <w:top w:val="none" w:sz="0" w:space="0" w:color="auto"/>
                                <w:left w:val="none" w:sz="0" w:space="0" w:color="auto"/>
                                <w:bottom w:val="none" w:sz="0" w:space="0" w:color="auto"/>
                                <w:right w:val="none" w:sz="0" w:space="0" w:color="auto"/>
                              </w:divBdr>
                              <w:divsChild>
                                <w:div w:id="25402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4921608">
      <w:bodyDiv w:val="1"/>
      <w:marLeft w:val="0"/>
      <w:marRight w:val="0"/>
      <w:marTop w:val="0"/>
      <w:marBottom w:val="0"/>
      <w:divBdr>
        <w:top w:val="none" w:sz="0" w:space="0" w:color="auto"/>
        <w:left w:val="none" w:sz="0" w:space="0" w:color="auto"/>
        <w:bottom w:val="none" w:sz="0" w:space="0" w:color="auto"/>
        <w:right w:val="none" w:sz="0" w:space="0" w:color="auto"/>
      </w:divBdr>
      <w:divsChild>
        <w:div w:id="94332806">
          <w:marLeft w:val="4515"/>
          <w:marRight w:val="0"/>
          <w:marTop w:val="0"/>
          <w:marBottom w:val="0"/>
          <w:divBdr>
            <w:top w:val="none" w:sz="0" w:space="0" w:color="auto"/>
            <w:left w:val="single" w:sz="2" w:space="0" w:color="2E2E2E"/>
            <w:bottom w:val="single" w:sz="2" w:space="0" w:color="2E2E2E"/>
            <w:right w:val="single" w:sz="2" w:space="0" w:color="2E2E2E"/>
          </w:divBdr>
          <w:divsChild>
            <w:div w:id="1308508628">
              <w:marLeft w:val="0"/>
              <w:marRight w:val="0"/>
              <w:marTop w:val="15"/>
              <w:marBottom w:val="0"/>
              <w:divBdr>
                <w:top w:val="none" w:sz="0" w:space="0" w:color="auto"/>
                <w:left w:val="none" w:sz="0" w:space="0" w:color="auto"/>
                <w:bottom w:val="none" w:sz="0" w:space="0" w:color="auto"/>
                <w:right w:val="none" w:sz="0" w:space="0" w:color="auto"/>
              </w:divBdr>
              <w:divsChild>
                <w:div w:id="1520120501">
                  <w:marLeft w:val="0"/>
                  <w:marRight w:val="0"/>
                  <w:marTop w:val="0"/>
                  <w:marBottom w:val="0"/>
                  <w:divBdr>
                    <w:top w:val="none" w:sz="0" w:space="0" w:color="auto"/>
                    <w:left w:val="none" w:sz="0" w:space="0" w:color="auto"/>
                    <w:bottom w:val="none" w:sz="0" w:space="0" w:color="auto"/>
                    <w:right w:val="none" w:sz="0" w:space="0" w:color="auto"/>
                  </w:divBdr>
                  <w:divsChild>
                    <w:div w:id="62028754">
                      <w:marLeft w:val="0"/>
                      <w:marRight w:val="0"/>
                      <w:marTop w:val="0"/>
                      <w:marBottom w:val="315"/>
                      <w:divBdr>
                        <w:top w:val="single" w:sz="6" w:space="0" w:color="D7D7D7"/>
                        <w:left w:val="single" w:sz="2" w:space="0" w:color="D7D7D7"/>
                        <w:bottom w:val="single" w:sz="6" w:space="0" w:color="D7D7D7"/>
                        <w:right w:val="single" w:sz="2" w:space="0" w:color="D7D7D7"/>
                      </w:divBdr>
                      <w:divsChild>
                        <w:div w:id="1129477502">
                          <w:marLeft w:val="0"/>
                          <w:marRight w:val="0"/>
                          <w:marTop w:val="0"/>
                          <w:marBottom w:val="0"/>
                          <w:divBdr>
                            <w:top w:val="none" w:sz="0" w:space="0" w:color="auto"/>
                            <w:left w:val="none" w:sz="0" w:space="0" w:color="auto"/>
                            <w:bottom w:val="none" w:sz="0" w:space="0" w:color="auto"/>
                            <w:right w:val="none" w:sz="0" w:space="0" w:color="auto"/>
                          </w:divBdr>
                          <w:divsChild>
                            <w:div w:id="56579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049127">
      <w:bodyDiv w:val="1"/>
      <w:marLeft w:val="0"/>
      <w:marRight w:val="0"/>
      <w:marTop w:val="0"/>
      <w:marBottom w:val="0"/>
      <w:divBdr>
        <w:top w:val="none" w:sz="0" w:space="0" w:color="auto"/>
        <w:left w:val="none" w:sz="0" w:space="0" w:color="auto"/>
        <w:bottom w:val="none" w:sz="0" w:space="0" w:color="auto"/>
        <w:right w:val="none" w:sz="0" w:space="0" w:color="auto"/>
      </w:divBdr>
    </w:div>
    <w:div w:id="1092894063">
      <w:bodyDiv w:val="1"/>
      <w:marLeft w:val="0"/>
      <w:marRight w:val="0"/>
      <w:marTop w:val="0"/>
      <w:marBottom w:val="0"/>
      <w:divBdr>
        <w:top w:val="none" w:sz="0" w:space="0" w:color="auto"/>
        <w:left w:val="none" w:sz="0" w:space="0" w:color="auto"/>
        <w:bottom w:val="none" w:sz="0" w:space="0" w:color="auto"/>
        <w:right w:val="none" w:sz="0" w:space="0" w:color="auto"/>
      </w:divBdr>
    </w:div>
    <w:div w:id="1136878770">
      <w:bodyDiv w:val="1"/>
      <w:marLeft w:val="0"/>
      <w:marRight w:val="0"/>
      <w:marTop w:val="0"/>
      <w:marBottom w:val="0"/>
      <w:divBdr>
        <w:top w:val="none" w:sz="0" w:space="0" w:color="auto"/>
        <w:left w:val="none" w:sz="0" w:space="0" w:color="auto"/>
        <w:bottom w:val="none" w:sz="0" w:space="0" w:color="auto"/>
        <w:right w:val="none" w:sz="0" w:space="0" w:color="auto"/>
      </w:divBdr>
    </w:div>
    <w:div w:id="1195925843">
      <w:bodyDiv w:val="1"/>
      <w:marLeft w:val="0"/>
      <w:marRight w:val="0"/>
      <w:marTop w:val="0"/>
      <w:marBottom w:val="0"/>
      <w:divBdr>
        <w:top w:val="none" w:sz="0" w:space="0" w:color="auto"/>
        <w:left w:val="none" w:sz="0" w:space="0" w:color="auto"/>
        <w:bottom w:val="none" w:sz="0" w:space="0" w:color="auto"/>
        <w:right w:val="none" w:sz="0" w:space="0" w:color="auto"/>
      </w:divBdr>
      <w:divsChild>
        <w:div w:id="2106684449">
          <w:marLeft w:val="0"/>
          <w:marRight w:val="0"/>
          <w:marTop w:val="0"/>
          <w:marBottom w:val="0"/>
          <w:divBdr>
            <w:top w:val="none" w:sz="0" w:space="0" w:color="auto"/>
            <w:left w:val="none" w:sz="0" w:space="0" w:color="auto"/>
            <w:bottom w:val="none" w:sz="0" w:space="0" w:color="auto"/>
            <w:right w:val="none" w:sz="0" w:space="0" w:color="auto"/>
          </w:divBdr>
        </w:div>
      </w:divsChild>
    </w:div>
    <w:div w:id="1206135587">
      <w:bodyDiv w:val="1"/>
      <w:marLeft w:val="0"/>
      <w:marRight w:val="0"/>
      <w:marTop w:val="0"/>
      <w:marBottom w:val="0"/>
      <w:divBdr>
        <w:top w:val="none" w:sz="0" w:space="0" w:color="auto"/>
        <w:left w:val="none" w:sz="0" w:space="0" w:color="auto"/>
        <w:bottom w:val="none" w:sz="0" w:space="0" w:color="auto"/>
        <w:right w:val="none" w:sz="0" w:space="0" w:color="auto"/>
      </w:divBdr>
    </w:div>
    <w:div w:id="1346634711">
      <w:bodyDiv w:val="1"/>
      <w:marLeft w:val="0"/>
      <w:marRight w:val="0"/>
      <w:marTop w:val="0"/>
      <w:marBottom w:val="0"/>
      <w:divBdr>
        <w:top w:val="none" w:sz="0" w:space="0" w:color="auto"/>
        <w:left w:val="none" w:sz="0" w:space="0" w:color="auto"/>
        <w:bottom w:val="none" w:sz="0" w:space="0" w:color="auto"/>
        <w:right w:val="none" w:sz="0" w:space="0" w:color="auto"/>
      </w:divBdr>
    </w:div>
    <w:div w:id="1360351533">
      <w:bodyDiv w:val="1"/>
      <w:marLeft w:val="0"/>
      <w:marRight w:val="0"/>
      <w:marTop w:val="0"/>
      <w:marBottom w:val="0"/>
      <w:divBdr>
        <w:top w:val="none" w:sz="0" w:space="0" w:color="auto"/>
        <w:left w:val="none" w:sz="0" w:space="0" w:color="auto"/>
        <w:bottom w:val="none" w:sz="0" w:space="0" w:color="auto"/>
        <w:right w:val="none" w:sz="0" w:space="0" w:color="auto"/>
      </w:divBdr>
      <w:divsChild>
        <w:div w:id="1875771881">
          <w:marLeft w:val="480"/>
          <w:marRight w:val="0"/>
          <w:marTop w:val="0"/>
          <w:marBottom w:val="0"/>
          <w:divBdr>
            <w:top w:val="none" w:sz="0" w:space="0" w:color="auto"/>
            <w:left w:val="none" w:sz="0" w:space="0" w:color="auto"/>
            <w:bottom w:val="none" w:sz="0" w:space="0" w:color="auto"/>
            <w:right w:val="none" w:sz="0" w:space="0" w:color="auto"/>
          </w:divBdr>
        </w:div>
        <w:div w:id="1567111855">
          <w:marLeft w:val="480"/>
          <w:marRight w:val="0"/>
          <w:marTop w:val="0"/>
          <w:marBottom w:val="0"/>
          <w:divBdr>
            <w:top w:val="none" w:sz="0" w:space="0" w:color="auto"/>
            <w:left w:val="none" w:sz="0" w:space="0" w:color="auto"/>
            <w:bottom w:val="none" w:sz="0" w:space="0" w:color="auto"/>
            <w:right w:val="none" w:sz="0" w:space="0" w:color="auto"/>
          </w:divBdr>
        </w:div>
        <w:div w:id="1524049678">
          <w:marLeft w:val="480"/>
          <w:marRight w:val="0"/>
          <w:marTop w:val="0"/>
          <w:marBottom w:val="0"/>
          <w:divBdr>
            <w:top w:val="none" w:sz="0" w:space="0" w:color="auto"/>
            <w:left w:val="none" w:sz="0" w:space="0" w:color="auto"/>
            <w:bottom w:val="none" w:sz="0" w:space="0" w:color="auto"/>
            <w:right w:val="none" w:sz="0" w:space="0" w:color="auto"/>
          </w:divBdr>
        </w:div>
        <w:div w:id="1461341405">
          <w:marLeft w:val="480"/>
          <w:marRight w:val="0"/>
          <w:marTop w:val="0"/>
          <w:marBottom w:val="0"/>
          <w:divBdr>
            <w:top w:val="none" w:sz="0" w:space="0" w:color="auto"/>
            <w:left w:val="none" w:sz="0" w:space="0" w:color="auto"/>
            <w:bottom w:val="none" w:sz="0" w:space="0" w:color="auto"/>
            <w:right w:val="none" w:sz="0" w:space="0" w:color="auto"/>
          </w:divBdr>
        </w:div>
      </w:divsChild>
    </w:div>
    <w:div w:id="1438452022">
      <w:bodyDiv w:val="1"/>
      <w:marLeft w:val="0"/>
      <w:marRight w:val="0"/>
      <w:marTop w:val="0"/>
      <w:marBottom w:val="0"/>
      <w:divBdr>
        <w:top w:val="none" w:sz="0" w:space="0" w:color="auto"/>
        <w:left w:val="none" w:sz="0" w:space="0" w:color="auto"/>
        <w:bottom w:val="none" w:sz="0" w:space="0" w:color="auto"/>
        <w:right w:val="none" w:sz="0" w:space="0" w:color="auto"/>
      </w:divBdr>
    </w:div>
    <w:div w:id="1617101534">
      <w:bodyDiv w:val="1"/>
      <w:marLeft w:val="0"/>
      <w:marRight w:val="0"/>
      <w:marTop w:val="0"/>
      <w:marBottom w:val="0"/>
      <w:divBdr>
        <w:top w:val="none" w:sz="0" w:space="0" w:color="auto"/>
        <w:left w:val="none" w:sz="0" w:space="0" w:color="auto"/>
        <w:bottom w:val="none" w:sz="0" w:space="0" w:color="auto"/>
        <w:right w:val="none" w:sz="0" w:space="0" w:color="auto"/>
      </w:divBdr>
    </w:div>
    <w:div w:id="1691103484">
      <w:bodyDiv w:val="1"/>
      <w:marLeft w:val="0"/>
      <w:marRight w:val="0"/>
      <w:marTop w:val="0"/>
      <w:marBottom w:val="0"/>
      <w:divBdr>
        <w:top w:val="none" w:sz="0" w:space="0" w:color="auto"/>
        <w:left w:val="none" w:sz="0" w:space="0" w:color="auto"/>
        <w:bottom w:val="none" w:sz="0" w:space="0" w:color="auto"/>
        <w:right w:val="none" w:sz="0" w:space="0" w:color="auto"/>
      </w:divBdr>
    </w:div>
    <w:div w:id="1774398288">
      <w:bodyDiv w:val="1"/>
      <w:marLeft w:val="0"/>
      <w:marRight w:val="0"/>
      <w:marTop w:val="0"/>
      <w:marBottom w:val="0"/>
      <w:divBdr>
        <w:top w:val="none" w:sz="0" w:space="0" w:color="auto"/>
        <w:left w:val="none" w:sz="0" w:space="0" w:color="auto"/>
        <w:bottom w:val="none" w:sz="0" w:space="0" w:color="auto"/>
        <w:right w:val="none" w:sz="0" w:space="0" w:color="auto"/>
      </w:divBdr>
    </w:div>
    <w:div w:id="1901749509">
      <w:bodyDiv w:val="1"/>
      <w:marLeft w:val="0"/>
      <w:marRight w:val="0"/>
      <w:marTop w:val="0"/>
      <w:marBottom w:val="0"/>
      <w:divBdr>
        <w:top w:val="none" w:sz="0" w:space="0" w:color="auto"/>
        <w:left w:val="none" w:sz="0" w:space="0" w:color="auto"/>
        <w:bottom w:val="none" w:sz="0" w:space="0" w:color="auto"/>
        <w:right w:val="none" w:sz="0" w:space="0" w:color="auto"/>
      </w:divBdr>
      <w:divsChild>
        <w:div w:id="1883442093">
          <w:marLeft w:val="0"/>
          <w:marRight w:val="0"/>
          <w:marTop w:val="0"/>
          <w:marBottom w:val="0"/>
          <w:divBdr>
            <w:top w:val="none" w:sz="0" w:space="0" w:color="auto"/>
            <w:left w:val="none" w:sz="0" w:space="0" w:color="auto"/>
            <w:bottom w:val="none" w:sz="0" w:space="0" w:color="auto"/>
            <w:right w:val="none" w:sz="0" w:space="0" w:color="auto"/>
          </w:divBdr>
          <w:divsChild>
            <w:div w:id="671031791">
              <w:marLeft w:val="0"/>
              <w:marRight w:val="0"/>
              <w:marTop w:val="0"/>
              <w:marBottom w:val="0"/>
              <w:divBdr>
                <w:top w:val="none" w:sz="0" w:space="0" w:color="auto"/>
                <w:left w:val="none" w:sz="0" w:space="0" w:color="auto"/>
                <w:bottom w:val="none" w:sz="0" w:space="0" w:color="auto"/>
                <w:right w:val="none" w:sz="0" w:space="0" w:color="auto"/>
              </w:divBdr>
              <w:divsChild>
                <w:div w:id="163396913">
                  <w:marLeft w:val="0"/>
                  <w:marRight w:val="0"/>
                  <w:marTop w:val="0"/>
                  <w:marBottom w:val="0"/>
                  <w:divBdr>
                    <w:top w:val="none" w:sz="0" w:space="0" w:color="auto"/>
                    <w:left w:val="none" w:sz="0" w:space="0" w:color="auto"/>
                    <w:bottom w:val="none" w:sz="0" w:space="0" w:color="auto"/>
                    <w:right w:val="none" w:sz="0" w:space="0" w:color="auto"/>
                  </w:divBdr>
                  <w:divsChild>
                    <w:div w:id="1137795786">
                      <w:marLeft w:val="0"/>
                      <w:marRight w:val="0"/>
                      <w:marTop w:val="0"/>
                      <w:marBottom w:val="0"/>
                      <w:divBdr>
                        <w:top w:val="none" w:sz="0" w:space="0" w:color="auto"/>
                        <w:left w:val="none" w:sz="0" w:space="0" w:color="auto"/>
                        <w:bottom w:val="none" w:sz="0" w:space="0" w:color="auto"/>
                        <w:right w:val="none" w:sz="0" w:space="0" w:color="auto"/>
                      </w:divBdr>
                      <w:divsChild>
                        <w:div w:id="248781187">
                          <w:marLeft w:val="0"/>
                          <w:marRight w:val="0"/>
                          <w:marTop w:val="0"/>
                          <w:marBottom w:val="0"/>
                          <w:divBdr>
                            <w:top w:val="none" w:sz="0" w:space="0" w:color="auto"/>
                            <w:left w:val="none" w:sz="0" w:space="0" w:color="auto"/>
                            <w:bottom w:val="none" w:sz="0" w:space="0" w:color="auto"/>
                            <w:right w:val="none" w:sz="0" w:space="0" w:color="auto"/>
                          </w:divBdr>
                          <w:divsChild>
                            <w:div w:id="998001543">
                              <w:marLeft w:val="0"/>
                              <w:marRight w:val="0"/>
                              <w:marTop w:val="0"/>
                              <w:marBottom w:val="0"/>
                              <w:divBdr>
                                <w:top w:val="none" w:sz="0" w:space="0" w:color="auto"/>
                                <w:left w:val="none" w:sz="0" w:space="0" w:color="auto"/>
                                <w:bottom w:val="none" w:sz="0" w:space="0" w:color="auto"/>
                                <w:right w:val="none" w:sz="0" w:space="0" w:color="auto"/>
                              </w:divBdr>
                              <w:divsChild>
                                <w:div w:id="401566846">
                                  <w:marLeft w:val="0"/>
                                  <w:marRight w:val="0"/>
                                  <w:marTop w:val="0"/>
                                  <w:marBottom w:val="0"/>
                                  <w:divBdr>
                                    <w:top w:val="none" w:sz="0" w:space="0" w:color="auto"/>
                                    <w:left w:val="none" w:sz="0" w:space="0" w:color="auto"/>
                                    <w:bottom w:val="none" w:sz="0" w:space="0" w:color="auto"/>
                                    <w:right w:val="none" w:sz="0" w:space="0" w:color="auto"/>
                                  </w:divBdr>
                                  <w:divsChild>
                                    <w:div w:id="17284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720753">
      <w:bodyDiv w:val="1"/>
      <w:marLeft w:val="0"/>
      <w:marRight w:val="0"/>
      <w:marTop w:val="0"/>
      <w:marBottom w:val="0"/>
      <w:divBdr>
        <w:top w:val="none" w:sz="0" w:space="0" w:color="auto"/>
        <w:left w:val="none" w:sz="0" w:space="0" w:color="auto"/>
        <w:bottom w:val="none" w:sz="0" w:space="0" w:color="auto"/>
        <w:right w:val="none" w:sz="0" w:space="0" w:color="auto"/>
      </w:divBdr>
      <w:divsChild>
        <w:div w:id="1840995814">
          <w:marLeft w:val="0"/>
          <w:marRight w:val="0"/>
          <w:marTop w:val="0"/>
          <w:marBottom w:val="0"/>
          <w:divBdr>
            <w:top w:val="none" w:sz="0" w:space="0" w:color="auto"/>
            <w:left w:val="none" w:sz="0" w:space="0" w:color="auto"/>
            <w:bottom w:val="none" w:sz="0" w:space="0" w:color="auto"/>
            <w:right w:val="none" w:sz="0" w:space="0" w:color="auto"/>
          </w:divBdr>
        </w:div>
      </w:divsChild>
    </w:div>
    <w:div w:id="2011980938">
      <w:bodyDiv w:val="1"/>
      <w:marLeft w:val="0"/>
      <w:marRight w:val="0"/>
      <w:marTop w:val="0"/>
      <w:marBottom w:val="0"/>
      <w:divBdr>
        <w:top w:val="none" w:sz="0" w:space="0" w:color="auto"/>
        <w:left w:val="none" w:sz="0" w:space="0" w:color="auto"/>
        <w:bottom w:val="none" w:sz="0" w:space="0" w:color="auto"/>
        <w:right w:val="none" w:sz="0" w:space="0" w:color="auto"/>
      </w:divBdr>
    </w:div>
    <w:div w:id="2021464658">
      <w:bodyDiv w:val="1"/>
      <w:marLeft w:val="0"/>
      <w:marRight w:val="0"/>
      <w:marTop w:val="0"/>
      <w:marBottom w:val="0"/>
      <w:divBdr>
        <w:top w:val="none" w:sz="0" w:space="0" w:color="auto"/>
        <w:left w:val="none" w:sz="0" w:space="0" w:color="auto"/>
        <w:bottom w:val="none" w:sz="0" w:space="0" w:color="auto"/>
        <w:right w:val="none" w:sz="0" w:space="0" w:color="auto"/>
      </w:divBdr>
      <w:divsChild>
        <w:div w:id="1625455564">
          <w:marLeft w:val="0"/>
          <w:marRight w:val="0"/>
          <w:marTop w:val="0"/>
          <w:marBottom w:val="0"/>
          <w:divBdr>
            <w:top w:val="single" w:sz="2" w:space="0" w:color="D9D9E3"/>
            <w:left w:val="single" w:sz="2" w:space="0" w:color="D9D9E3"/>
            <w:bottom w:val="single" w:sz="2" w:space="0" w:color="D9D9E3"/>
            <w:right w:val="single" w:sz="2" w:space="0" w:color="D9D9E3"/>
          </w:divBdr>
          <w:divsChild>
            <w:div w:id="2077047644">
              <w:marLeft w:val="0"/>
              <w:marRight w:val="0"/>
              <w:marTop w:val="0"/>
              <w:marBottom w:val="0"/>
              <w:divBdr>
                <w:top w:val="single" w:sz="2" w:space="0" w:color="D9D9E3"/>
                <w:left w:val="single" w:sz="2" w:space="0" w:color="D9D9E3"/>
                <w:bottom w:val="single" w:sz="2" w:space="0" w:color="D9D9E3"/>
                <w:right w:val="single" w:sz="2" w:space="0" w:color="D9D9E3"/>
              </w:divBdr>
              <w:divsChild>
                <w:div w:id="2006201628">
                  <w:marLeft w:val="0"/>
                  <w:marRight w:val="0"/>
                  <w:marTop w:val="0"/>
                  <w:marBottom w:val="0"/>
                  <w:divBdr>
                    <w:top w:val="single" w:sz="2" w:space="0" w:color="D9D9E3"/>
                    <w:left w:val="single" w:sz="2" w:space="0" w:color="D9D9E3"/>
                    <w:bottom w:val="single" w:sz="2" w:space="0" w:color="D9D9E3"/>
                    <w:right w:val="single" w:sz="2" w:space="0" w:color="D9D9E3"/>
                  </w:divBdr>
                  <w:divsChild>
                    <w:div w:id="231084253">
                      <w:marLeft w:val="0"/>
                      <w:marRight w:val="0"/>
                      <w:marTop w:val="0"/>
                      <w:marBottom w:val="0"/>
                      <w:divBdr>
                        <w:top w:val="single" w:sz="2" w:space="0" w:color="D9D9E3"/>
                        <w:left w:val="single" w:sz="2" w:space="0" w:color="D9D9E3"/>
                        <w:bottom w:val="single" w:sz="2" w:space="0" w:color="D9D9E3"/>
                        <w:right w:val="single" w:sz="2" w:space="0" w:color="D9D9E3"/>
                      </w:divBdr>
                      <w:divsChild>
                        <w:div w:id="715272766">
                          <w:marLeft w:val="0"/>
                          <w:marRight w:val="0"/>
                          <w:marTop w:val="0"/>
                          <w:marBottom w:val="0"/>
                          <w:divBdr>
                            <w:top w:val="single" w:sz="2" w:space="0" w:color="auto"/>
                            <w:left w:val="single" w:sz="2" w:space="0" w:color="auto"/>
                            <w:bottom w:val="single" w:sz="6" w:space="0" w:color="auto"/>
                            <w:right w:val="single" w:sz="2" w:space="0" w:color="auto"/>
                          </w:divBdr>
                          <w:divsChild>
                            <w:div w:id="1738551801">
                              <w:marLeft w:val="0"/>
                              <w:marRight w:val="0"/>
                              <w:marTop w:val="100"/>
                              <w:marBottom w:val="100"/>
                              <w:divBdr>
                                <w:top w:val="single" w:sz="2" w:space="0" w:color="D9D9E3"/>
                                <w:left w:val="single" w:sz="2" w:space="0" w:color="D9D9E3"/>
                                <w:bottom w:val="single" w:sz="2" w:space="0" w:color="D9D9E3"/>
                                <w:right w:val="single" w:sz="2" w:space="0" w:color="D9D9E3"/>
                              </w:divBdr>
                              <w:divsChild>
                                <w:div w:id="588998769">
                                  <w:marLeft w:val="0"/>
                                  <w:marRight w:val="0"/>
                                  <w:marTop w:val="0"/>
                                  <w:marBottom w:val="0"/>
                                  <w:divBdr>
                                    <w:top w:val="single" w:sz="2" w:space="0" w:color="D9D9E3"/>
                                    <w:left w:val="single" w:sz="2" w:space="0" w:color="D9D9E3"/>
                                    <w:bottom w:val="single" w:sz="2" w:space="0" w:color="D9D9E3"/>
                                    <w:right w:val="single" w:sz="2" w:space="0" w:color="D9D9E3"/>
                                  </w:divBdr>
                                  <w:divsChild>
                                    <w:div w:id="1723095841">
                                      <w:marLeft w:val="0"/>
                                      <w:marRight w:val="0"/>
                                      <w:marTop w:val="0"/>
                                      <w:marBottom w:val="0"/>
                                      <w:divBdr>
                                        <w:top w:val="single" w:sz="2" w:space="0" w:color="D9D9E3"/>
                                        <w:left w:val="single" w:sz="2" w:space="0" w:color="D9D9E3"/>
                                        <w:bottom w:val="single" w:sz="2" w:space="0" w:color="D9D9E3"/>
                                        <w:right w:val="single" w:sz="2" w:space="0" w:color="D9D9E3"/>
                                      </w:divBdr>
                                      <w:divsChild>
                                        <w:div w:id="1052272656">
                                          <w:marLeft w:val="0"/>
                                          <w:marRight w:val="0"/>
                                          <w:marTop w:val="0"/>
                                          <w:marBottom w:val="0"/>
                                          <w:divBdr>
                                            <w:top w:val="single" w:sz="2" w:space="0" w:color="D9D9E3"/>
                                            <w:left w:val="single" w:sz="2" w:space="0" w:color="D9D9E3"/>
                                            <w:bottom w:val="single" w:sz="2" w:space="0" w:color="D9D9E3"/>
                                            <w:right w:val="single" w:sz="2" w:space="0" w:color="D9D9E3"/>
                                          </w:divBdr>
                                          <w:divsChild>
                                            <w:div w:id="453136097">
                                              <w:marLeft w:val="0"/>
                                              <w:marRight w:val="0"/>
                                              <w:marTop w:val="0"/>
                                              <w:marBottom w:val="0"/>
                                              <w:divBdr>
                                                <w:top w:val="single" w:sz="2" w:space="0" w:color="D9D9E3"/>
                                                <w:left w:val="single" w:sz="2" w:space="0" w:color="D9D9E3"/>
                                                <w:bottom w:val="single" w:sz="2" w:space="0" w:color="D9D9E3"/>
                                                <w:right w:val="single" w:sz="2" w:space="0" w:color="D9D9E3"/>
                                              </w:divBdr>
                                              <w:divsChild>
                                                <w:div w:id="19271052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109542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tewhatuora.govt.nz/our-health-system/data-and-statistics/virtual-diabetes-tool/" TargetMode="External"/><Relationship Id="rId2" Type="http://schemas.openxmlformats.org/officeDocument/2006/relationships/customXml" Target="../customXml/item2.xml"/><Relationship Id="rId16" Type="http://schemas.openxmlformats.org/officeDocument/2006/relationships/hyperlink" Target="https://doi.org/10.1111/jpc.13924"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tewhatuora.govt.nz/for-health-providers/primary-care-sector/primary-health-organisations/enrolment-with-a-general-practice-and-primary-health-organisation" TargetMode="Externa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tewhatuora.shinyapps.io/virtual-diabetes-register-web-tool/" TargetMode="External"/><Relationship Id="rId22" Type="http://schemas.openxmlformats.org/officeDocument/2006/relationships/customXml" Target="../customXml/item7.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BED0F06D-994A-44F1-98E0-BF48EE503421}"/>
      </w:docPartPr>
      <w:docPartBody>
        <w:p w:rsidR="006F7EE8" w:rsidRDefault="006F7EE8">
          <w:r w:rsidRPr="00A21AA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Garamond Pro">
    <w:altName w:val="Garamond"/>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dobe Garamond Pro Bold">
    <w:altName w:val="Garamon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EE8"/>
    <w:rsid w:val="000C2F0D"/>
    <w:rsid w:val="003A6AD7"/>
    <w:rsid w:val="004367EF"/>
    <w:rsid w:val="00562C87"/>
    <w:rsid w:val="00571D0C"/>
    <w:rsid w:val="00611C05"/>
    <w:rsid w:val="006F7EE8"/>
    <w:rsid w:val="00780AEC"/>
    <w:rsid w:val="0085767E"/>
    <w:rsid w:val="00874AB3"/>
    <w:rsid w:val="008C5F47"/>
    <w:rsid w:val="00AE5183"/>
    <w:rsid w:val="00AF636C"/>
    <w:rsid w:val="00C04CC4"/>
    <w:rsid w:val="00C65BC3"/>
    <w:rsid w:val="00EC2A71"/>
    <w:rsid w:val="00FC422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NZ" w:eastAsia="en-NZ"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F636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CA15D58-7B3F-488B-923F-825C1271A943}">
  <we:reference id="wa104382081" version="1.55.1.0" store="en-US" storeType="OMEX"/>
  <we:alternateReferences>
    <we:reference id="wa104382081" version="1.55.1.0" store="" storeType="OMEX"/>
  </we:alternateReferences>
  <we:properties>
    <we:property name="MENDELEY_CITATIONS" value="[{&quot;citationID&quot;:&quot;MENDELEY_CITATION_6c61dfbe-cbd9-4a18-9250-bef49ee60da8&quot;,&quot;properties&quot;:{&quot;noteIndex&quot;:0},&quot;isEdited&quot;:false,&quot;manualOverride&quot;:{&quot;isManuallyOverridden&quot;:false,&quot;citeprocText&quot;:&quot;(Ministry of Health, 2017)&quot;,&quot;manualOverrideText&quot;:&quot;&quot;},&quot;citationTag&quot;:&quot;MENDELEY_CITATION_v3_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&quot;,&quot;citationItems&quot;:[{&quot;id&quot;:&quot;f668542c-2ac2-3a1e-adb8-1c98af5e5717&quot;,&quot;itemData&quot;:{&quot;type&quot;:&quot;report&quot;,&quot;id&quot;:&quot;f668542c-2ac2-3a1e-adb8-1c98af5e5717&quot;,&quot;title&quot;:&quot;HISO 10001:2017 Ethnicity Data Protocols&quot;,&quot;author&quot;:[{&quot;family&quot;:&quot;Ministry of Health&quot;,&quot;given&quot;:&quot;&quot;,&quot;parse-names&quot;:false,&quot;dropping-particle&quot;:&quot;&quot;,&quot;non-dropping-particle&quot;:&quot;&quot;}],&quot;issued&quot;:{&quot;date-parts&quot;:[[2017]]},&quot;publisher-place&quot;:&quot;Wellington, New Zealand&quot;,&quot;container-title-short&quot;:&quot;&quot;},&quot;isTemporary&quot;:false}]},{&quot;citationID&quot;:&quot;MENDELEY_CITATION_453302ac-1aa6-435c-8b04-284a42d57225&quot;,&quot;properties&quot;:{&quot;noteIndex&quot;:0},&quot;isEdited&quot;:false,&quot;manualOverride&quot;:{&quot;isManuallyOverridden&quot;:false,&quot;citeprocText&quot;:&quot;(Coppell et al., 2013; Te Whatu Ora, 2023)&quot;,&quot;manualOverrideText&quot;:&quot;&quot;},&quot;citationTag&quot;:&quot;MENDELEY_CITATION_v3_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&quot;,&quot;citationItems&quot;:[{&quot;id&quot;:&quot;ebc8b80f-44be-38b6-9f58-e3e1ae4cdc1b&quot;,&quot;itemData&quot;:{&quot;type&quot;:&quot;webpage&quot;,&quot;id&quot;:&quot;ebc8b80f-44be-38b6-9f58-e3e1ae4cdc1b&quot;,&quot;title&quot;:&quot;Key findings from the 2021 Virtual Diabetes Register&quot;,&quot;author&quot;:[{&quot;family&quot;:&quot;Whatu Ora&quot;,&quot;given&quot;:&quot;&quot;,&quot;parse-names&quot;:false,&quot;dropping-particle&quot;:&quot;&quot;,&quot;non-dropping-particle&quot;:&quot;Te&quot;}],&quot;issued&quot;:{&quot;date-parts&quot;:[[2023,8]]},&quot;container-title-short&quot;:&quot;&quot;},&quot;isTemporary&quot;:false},{&quot;id&quot;:&quot;63e4d6de-aabf-34f2-b1a9-a6efadcf6830&quot;,&quot;itemData&quot;:{&quot;type&quot;:&quot;article-journal&quot;,&quot;id&quot;:&quot;63e4d6de-aabf-34f2-b1a9-a6efadcf6830&quot;,&quot;title&quot;:&quot;Prevalence of diagnosed and undiagnosed diabetes and prediabetes in New Zealand: Findings from the 2008/09 adult nutrition survey&quot;,&quot;author&quot;:[{&quot;family&quot;:&quot;Coppell&quot;,&quot;given&quot;:&quot;Kirsten J.&quot;,&quot;parse-names&quot;:false,&quot;dropping-particle&quot;:&quot;&quot;,&quot;non-dropping-particle&quot;:&quot;&quot;},{&quot;family&quot;:&quot;Mann&quot;,&quot;given&quot;:&quot;Jim I.&quot;,&quot;parse-names&quot;:false,&quot;dropping-particle&quot;:&quot;&quot;,&quot;non-dropping-particle&quot;:&quot;&quot;},{&quot;family&quot;:&quot;Williams&quot;,&quot;given&quot;:&quot;Sheila M.&quot;,&quot;parse-names&quot;:false,&quot;dropping-particle&quot;:&quot;&quot;,&quot;non-dropping-particle&quot;:&quot;&quot;},{&quot;family&quot;:&quot;Jo&quot;,&quot;given&quot;:&quot;Emmanuel&quot;,&quot;parse-names&quot;:false,&quot;dropping-particle&quot;:&quot;&quot;,&quot;non-dropping-particle&quot;:&quot;&quot;},{&quot;family&quot;:&quot;Drury&quot;,&quot;given&quot;:&quot;Paul L.&quot;,&quot;parse-names&quot;:false,&quot;dropping-particle&quot;:&quot;&quot;,&quot;non-dropping-particle&quot;:&quot;&quot;},{&quot;family&quot;:&quot;Miller&quot;,&quot;given&quot;:&quot;Jody&quot;,&quot;parse-names&quot;:false,&quot;dropping-particle&quot;:&quot;&quot;,&quot;non-dropping-particle&quot;:&quot;&quot;},{&quot;family&quot;:&quot;Parnell&quot;,&quot;given&quot;:&quot;Winsome R.&quot;,&quot;parse-names&quot;:false,&quot;dropping-particle&quot;:&quot;&quot;,&quot;non-dropping-particle&quot;:&quot;&quot;}],&quot;container-title&quot;:&quot;New Zealand Medical Journal&quot;,&quot;ISSN&quot;:&quot;11758716&quot;,&quot;issued&quot;:{&quot;date-parts&quot;:[[2013]]},&quot;abstract&quot;:&quot;Aim To describe the prevalence of diagnosed and undiagnosed diabetes and prediabetes for New Zealand adults. Methods The 2008/09 New Zealand Adult Nutrition Survey was a nationally representative, cross-sectional survey of 4,721 New Zealanders aged 15 years and above. Self-reported diabetes and the 2010 American Diabetes Association cutoffs for HbA1c were used to define diagnosed diabetes, undiagnosed diabetes and prediabetes. Prevalence rates were calculated and age-specific diagnosed diabetes rates were compared with those from the Virtual Diabetes Register. Results Overall, prevalence of diabetes was 7.0%, and prevalence of prediabetes 18.6%. Prevalence of diabetes was higher in men (8.3%, 95% CI: 6.4, 10.1) than in women (5.8%, 95% CI: 4.7, 7.0), and was higher among the obese (14.2%, 95% CI: 11.6, 16.9) compared with the normal weight group (2.4%, 95% CI: 1.4, 3.6). Prevalence of undiagnosed diabetes was highest among Pacific people (6.4%, 95% CI: 3.8, 9.1) compared with Māori (2.2%, 95% CI: 1.2, 3.1) and New Zealand European and Others (1.5%, 95% CI: 0.9, 2.1). Conclusion The high prevalence of prediabetes indicates the prevalence of diabetes will continue to increase in New Zealand. Implementation of effective evidence-based prevention strategies is required to reduce the increasing costs of the diabetes epidemic. © NZMA.&quot;,&quot;issue&quot;:&quot;1370&quot;,&quot;volume&quot;:&quot;126&quot;,&quot;container-title-short&quot;:&quot;&quot;},&quot;isTemporary&quot;:false}]},{&quot;citationID&quot;:&quot;MENDELEY_CITATION_b5dfd3ea-6283-4f48-813a-537555e88cc4&quot;,&quot;properties&quot;:{&quot;noteIndex&quot;:0},&quot;isEdited&quot;:false,&quot;manualOverride&quot;:{&quot;isManuallyOverridden&quot;:false,&quot;citeprocText&quot;:&quot;(Te Whatu Ora, 2023)&quot;,&quot;manualOverrideText&quot;:&quot;&quot;},&quot;citationTag&quot;:&quot;MENDELEY_CITATION_v3_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&quot;,&quot;citationItems&quot;:[{&quot;id&quot;:&quot;ebc8b80f-44be-38b6-9f58-e3e1ae4cdc1b&quot;,&quot;itemData&quot;:{&quot;type&quot;:&quot;webpage&quot;,&quot;id&quot;:&quot;ebc8b80f-44be-38b6-9f58-e3e1ae4cdc1b&quot;,&quot;title&quot;:&quot;Key findings from the 2021 Virtual Diabetes Register&quot;,&quot;author&quot;:[{&quot;family&quot;:&quot;Whatu Ora&quot;,&quot;given&quot;:&quot;&quot;,&quot;parse-names&quot;:false,&quot;dropping-particle&quot;:&quot;&quot;,&quot;non-dropping-particle&quot;:&quot;Te&quot;}],&quot;issued&quot;:{&quot;date-parts&quot;:[[2023,8]]},&quot;container-title-short&quot;:&quot;&quot;},&quot;isTemporary&quot;:false}]},{&quot;citationID&quot;:&quot;MENDELEY_CITATION_3bb08a06-562c-4255-b82b-e817d9defc5a&quot;,&quot;properties&quot;:{&quot;noteIndex&quot;:0},&quot;isEdited&quot;:false,&quot;manualOverride&quot;:{&quot;isManuallyOverridden&quot;:false,&quot;citeprocText&quot;:&quot;(Sjardin et al., 2018)&quot;,&quot;manualOverrideText&quot;:&quot;&quot;},&quot;citationTag&quot;:&quot;MENDELEY_CITATION_v3_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&quot;,&quot;citationItems&quot;:[{&quot;id&quot;:&quot;4b8502e3-b1d7-3d2e-9f3a-7ea815e732ce&quot;,&quot;itemData&quot;:{&quot;type&quot;:&quot;article-journal&quot;,&quot;id&quot;:&quot;4b8502e3-b1d7-3d2e-9f3a-7ea815e732ce&quot;,&quot;title&quot;:&quot;Increasing incidence of type 2 diabetes in New Zealand children &lt;15 years of age in a regional-based diabetes service, Auckland, New Zealand&quot;,&quot;author&quot;:[{&quot;family&quot;:&quot;Sjardin&quot;,&quot;given&quot;:&quot;Natalia&quot;,&quot;parse-names&quot;:false,&quot;dropping-particle&quot;:&quot;&quot;,&quot;non-dropping-particle&quot;:&quot;&quot;},{&quot;family&quot;:&quot;Reed&quot;,&quot;given&quot;:&quot;Peter&quot;,&quot;parse-names&quot;:false,&quot;dropping-particle&quot;:&quot;&quot;,&quot;non-dropping-particle&quot;:&quot;&quot;},{&quot;family&quot;:&quot;Albert&quot;,&quot;given&quot;:&quot;Ben&quot;,&quot;parse-names&quot;:false,&quot;dropping-particle&quot;:&quot;&quot;,&quot;non-dropping-particle&quot;:&quot;&quot;},{&quot;family&quot;:&quot;Mouat&quot;,&quot;given&quot;:&quot;Fran&quot;,&quot;parse-names&quot;:false,&quot;dropping-particle&quot;:&quot;&quot;,&quot;non-dropping-particle&quot;:&quot;&quot;},{&quot;family&quot;:&quot;Carter&quot;,&quot;given&quot;:&quot;Phillipa J.&quot;,&quot;parse-names&quot;:false,&quot;dropping-particle&quot;:&quot;&quot;,&quot;non-dropping-particle&quot;:&quot;&quot;},{&quot;family&quot;:&quot;Hofman&quot;,&quot;given&quot;:&quot;Paul&quot;,&quot;parse-names&quot;:false,&quot;dropping-particle&quot;:&quot;&quot;,&quot;non-dropping-particle&quot;:&quot;&quot;},{&quot;family&quot;:&quot;Cutfield&quot;,&quot;given&quot;:&quot;Wayne&quot;,&quot;parse-names&quot;:false,&quot;dropping-particle&quot;:&quot;&quot;,&quot;non-dropping-particle&quot;:&quot;&quot;},{&quot;family&quot;:&quot;Gunn&quot;,&quot;given&quot;:&quot;Alistair&quot;,&quot;parse-names&quot;:false,&quot;dropping-particle&quot;:&quot;&quot;,&quot;non-dropping-particle&quot;:&quot;&quot;},{&quot;family&quot;:&quot;Jefferies&quot;,&quot;given&quot;:&quot;Craig&quot;,&quot;parse-names&quot;:false,&quot;dropping-particle&quot;:&quot;&quot;,&quot;non-dropping-particle&quot;:&quot;&quot;}],&quot;container-title&quot;:&quot;Journal of Paediatrics and Child Health&quot;,&quot;container-title-short&quot;:&quot;J Paediatr Child Health&quot;,&quot;DOI&quot;:&quot;10.1111/jpc.13924&quot;,&quot;ISSN&quot;:&quot;14401754&quot;,&quot;issued&quot;:{&quot;date-parts&quot;:[[2018]]},&quot;abstract&quot;:&quot;Aim: It is important to understand whether type 2 diabetes mellitus (T2DM) is increasing in childhood for health-care planning and clinical management. The aim of this study is to examine the incidence of T2DM in New Zealand children, aged &lt;15 years from a paediatric diabetes centre, Auckland, New Zealand. Methods: Retrospective analysis of prospectively collected data from a population-based referral cohort from 1995 to 2015. Results: Hundred and four children presented with T2DM over the 21-year period. The female:male ratio was 1.8:1, at mean (standard deviation) age 12.9 (1.9) years, body mass index standard deviation score +2.3 (0.5), blood sugar 15.3 (8.5) mmol/L, HbA1c 76 (28) mmol/mol. At diagnosis, 90% had acanthosis nigricans and 48% were symptomatic. In all, 33% were Maori, 46% Pacific Island, 15% Asian/Middle Eastern and 6% European. There was a progressive secular increase of 5% year on year in incidence. The overall annual incidence of T2DM &lt;15 years of age was 1.5/100 000 (1.2–1.9) (95% confidence interval), with higher rates in Pacific Island (5.9/100 000) and Maori (4.1/100 000). Conclusions: The incidence of T2DM in children &lt;15 years of age in New Zealand has increased progressively at 5%/year over the last 21 years. The risk was disproportionately associated with girls and children from high-risk ethnic groups.&quot;,&quot;issue&quot;:&quot;9&quot;,&quot;volume&quot;:&quot;54&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bef9904b-9bca-4a1b-aca3-78dad2044d15" xsi:nil="true"/>
    <_dlc_DocId xmlns="bef9904b-9bca-4a1b-aca3-78dad2044d15">DOCS-453281645-2446</_dlc_DocId>
    <_dlc_DocIdUrl xmlns="bef9904b-9bca-4a1b-aca3-78dad2044d15">
      <Url>https://hqsc.sharepoint.com/sites/dms-hqintel/_layouts/15/DocIdRedir.aspx?ID=DOCS-453281645-2446</Url>
      <Description>DOCS-453281645-2446</Description>
    </_dlc_DocIdUrl>
    <lcf76f155ced4ddcb4097134ff3c332f xmlns="3fa80482-14dc-48ca-bf32-05894bf52ed5">
      <Terms xmlns="http://schemas.microsoft.com/office/infopath/2007/PartnerControls"/>
    </lcf76f155ced4ddcb4097134ff3c332f>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MS document" ma:contentTypeID="0x010100464BB556B3337A48846236E9064FB9CC01002A562E54C50D1C4CBCCC6968ECC1B093" ma:contentTypeVersion="35" ma:contentTypeDescription="Use this content type to classify and store documents on HQSC DMS website" ma:contentTypeScope="" ma:versionID="0e0d7ac42e100f1820c3e4666c7dd194">
  <xsd:schema xmlns:xsd="http://www.w3.org/2001/XMLSchema" xmlns:xs="http://www.w3.org/2001/XMLSchema" xmlns:p="http://schemas.microsoft.com/office/2006/metadata/properties" xmlns:ns3="3fa80482-14dc-48ca-bf32-05894bf52ed5" xmlns:ns4="bef9904b-9bca-4a1b-aca3-78dad2044d15" targetNamespace="http://schemas.microsoft.com/office/2006/metadata/properties" ma:root="true" ma:fieldsID="8ade522a27e2738c2fe0f06438aad604" ns3:_="" ns4:_="">
    <xsd:import namespace="3fa80482-14dc-48ca-bf32-05894bf52ed5"/>
    <xsd:import namespace="bef9904b-9bca-4a1b-aca3-78dad2044d1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4:TaxCatchAll" minOccurs="0"/>
                <xsd:element ref="ns3:MediaLengthInSeconds" minOccurs="0"/>
                <xsd:element ref="ns3:MediaServiceDateTaken" minOccurs="0"/>
                <xsd:element ref="ns4:_dlc_DocId" minOccurs="0"/>
                <xsd:element ref="ns4:_dlc_DocIdUrl" minOccurs="0"/>
                <xsd:element ref="ns4:_dlc_DocIdPersistI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80482-14dc-48ca-bf32-05894bf52ed5"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f067919-d045-4b34-bd75-563914e94517"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DateTaken" ma:index="23" nillable="true" ma:displayName="MediaServiceDateTaken" ma:hidden="true" ma:internalName="MediaServiceDateTaken" ma:readOnly="true">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f9904b-9bca-4a1b-aca3-78dad2044d1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8bc59ac-0fd6-424b-a8f8-88bd2faa8bc1}" ma:internalName="TaxCatchAll" ma:showField="CatchAllData" ma:web="bef9904b-9bca-4a1b-aca3-78dad2044d15">
      <xsd:complexType>
        <xsd:complexContent>
          <xsd:extension base="dms:MultiChoiceLookup">
            <xsd:sequence>
              <xsd:element name="Value" type="dms:Lookup" maxOccurs="unbounded" minOccurs="0" nillable="true"/>
            </xsd:sequence>
          </xsd:extension>
        </xsd:complexContent>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haredContentType xmlns="Microsoft.SharePoint.Taxonomy.ContentTypeSync" SourceId="5f067919-d045-4b34-bd75-563914e94517" ContentTypeId="0x010100464BB556B3337A48846236E9064FB9CC01" PreviousValue="false"/>
</file>

<file path=customXml/itemProps1.xml><?xml version="1.0" encoding="utf-8"?>
<ds:datastoreItem xmlns:ds="http://schemas.openxmlformats.org/officeDocument/2006/customXml" ds:itemID="{CC30958C-6A86-474B-853A-3492E57B86F4}">
  <ds:schemaRefs>
    <ds:schemaRef ds:uri="http://schemas.microsoft.com/office/2006/metadata/longProperties"/>
  </ds:schemaRefs>
</ds:datastoreItem>
</file>

<file path=customXml/itemProps2.xml><?xml version="1.0" encoding="utf-8"?>
<ds:datastoreItem xmlns:ds="http://schemas.openxmlformats.org/officeDocument/2006/customXml" ds:itemID="{3DAC4BAE-D815-48B3-8323-E380DFD29F27}">
  <ds:schemaRefs>
    <ds:schemaRef ds:uri="http://schemas.openxmlformats.org/officeDocument/2006/bibliography"/>
  </ds:schemaRefs>
</ds:datastoreItem>
</file>

<file path=customXml/itemProps3.xml><?xml version="1.0" encoding="utf-8"?>
<ds:datastoreItem xmlns:ds="http://schemas.openxmlformats.org/officeDocument/2006/customXml" ds:itemID="{F83EEB2A-611E-4D05-A54F-EF6EA0FEF2F3}">
  <ds:schemaRefs>
    <ds:schemaRef ds:uri="http://purl.org/dc/terms/"/>
    <ds:schemaRef ds:uri="http://purl.org/dc/elements/1.1/"/>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http://purl.org/dc/dcmitype/"/>
    <ds:schemaRef ds:uri="bef9904b-9bca-4a1b-aca3-78dad2044d15"/>
    <ds:schemaRef ds:uri="http://schemas.microsoft.com/office/infopath/2007/PartnerControls"/>
    <ds:schemaRef ds:uri="83c1f819-1d2e-4aad-8c9d-234667bc5029"/>
  </ds:schemaRefs>
</ds:datastoreItem>
</file>

<file path=customXml/itemProps4.xml><?xml version="1.0" encoding="utf-8"?>
<ds:datastoreItem xmlns:ds="http://schemas.openxmlformats.org/officeDocument/2006/customXml" ds:itemID="{45C3BAC6-813C-4C5C-9CBC-13643936C3B5}">
  <ds:schemaRefs>
    <ds:schemaRef ds:uri="http://schemas.microsoft.com/sharepoint/events"/>
  </ds:schemaRefs>
</ds:datastoreItem>
</file>

<file path=customXml/itemProps5.xml><?xml version="1.0" encoding="utf-8"?>
<ds:datastoreItem xmlns:ds="http://schemas.openxmlformats.org/officeDocument/2006/customXml" ds:itemID="{B0EFA3BC-81C5-4CEB-BAD6-7E056D100E07}"/>
</file>

<file path=customXml/itemProps6.xml><?xml version="1.0" encoding="utf-8"?>
<ds:datastoreItem xmlns:ds="http://schemas.openxmlformats.org/officeDocument/2006/customXml" ds:itemID="{2ACA222D-FCD5-4927-9161-2DEC5CBE23B2}">
  <ds:schemaRefs>
    <ds:schemaRef ds:uri="http://schemas.microsoft.com/sharepoint/v3/contenttype/forms"/>
  </ds:schemaRefs>
</ds:datastoreItem>
</file>

<file path=customXml/itemProps7.xml><?xml version="1.0" encoding="utf-8"?>
<ds:datastoreItem xmlns:ds="http://schemas.openxmlformats.org/officeDocument/2006/customXml" ds:itemID="{C9619E1A-8174-480F-BCFF-A6DF41083A12}"/>
</file>

<file path=docMetadata/LabelInfo.xml><?xml version="1.0" encoding="utf-8"?>
<clbl:labelList xmlns:clbl="http://schemas.microsoft.com/office/2020/mipLabelMetadata">
  <clbl:label id="{701cefdf-35f4-4444-8638-55f0e12ab1c4}" enabled="0" method="" siteId="{701cefdf-35f4-4444-8638-55f0e12ab1c4}" removed="1"/>
</clbl:labelList>
</file>

<file path=docProps/app.xml><?xml version="1.0" encoding="utf-8"?>
<Properties xmlns="http://schemas.openxmlformats.org/officeDocument/2006/extended-properties" xmlns:vt="http://schemas.openxmlformats.org/officeDocument/2006/docPropsVTypes">
  <Template>Normal</Template>
  <TotalTime>86</TotalTime>
  <Pages>20</Pages>
  <Words>5978</Words>
  <Characters>35861</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41756</CharactersWithSpaces>
  <SharedDoc>false</SharedDoc>
  <HLinks>
    <vt:vector size="6" baseType="variant">
      <vt:variant>
        <vt:i4>1900611</vt:i4>
      </vt:variant>
      <vt:variant>
        <vt:i4>0</vt:i4>
      </vt:variant>
      <vt:variant>
        <vt:i4>0</vt:i4>
      </vt:variant>
      <vt:variant>
        <vt:i4>5</vt:i4>
      </vt:variant>
      <vt:variant>
        <vt:lpwstr>http://www.health.govt.nz/publication/new-zealand-maternity-clinical-indicators-2018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Arlene Reyes</dc:creator>
  <cp:keywords/>
  <cp:lastModifiedBy>Nivy Gurram</cp:lastModifiedBy>
  <cp:revision>20</cp:revision>
  <cp:lastPrinted>2019-12-15T20:22:00Z</cp:lastPrinted>
  <dcterms:created xsi:type="dcterms:W3CDTF">2024-06-11T02:18:00Z</dcterms:created>
  <dcterms:modified xsi:type="dcterms:W3CDTF">2024-06-26T02:25:00Z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0x010100464BB556B3337A48846236E9064FB9CC01002A562E54C50D1C4CBCCC6968ECC1B093</vt:lpwstr>
  </property>
  <property fmtid="{D5CDD505-2E9C-101B-9397-08002B2CF9AE}" pid="3" name="_dlc_DocId">
    <vt:lpwstr>HQSC-340-17080</vt:lpwstr>
  </property>
  <property fmtid="{D5CDD505-2E9C-101B-9397-08002B2CF9AE}" pid="4" name="_dlc_DocIdUrl">
    <vt:lpwstr>http://intranet.hqsc.local/DMS/Programmes/_layouts/DocIdRedir.aspx?ID=HQSC-340-17080, HQSC-340-17080</vt:lpwstr>
  </property>
  <property fmtid="{D5CDD505-2E9C-101B-9397-08002B2CF9AE}" pid="5" name="_dlc_DocIdItemGuid">
    <vt:lpwstr>8ade86e0-50e5-456e-9377-3702ec20897d</vt:lpwstr>
  </property>
  <property fmtid="{D5CDD505-2E9C-101B-9397-08002B2CF9AE}" pid="6" name="MediaServiceImageTags">
    <vt:lpwstr/>
  </property>
</Properties>
</file>